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P/10454/2011 vom 3. Mai 2012</w:t>
      </w:r>
    </w:p>
    <w:p>
      <w:r>
        <w:t>GE Cour de justice, 2012-05-03, FR</w:t>
      </w:r>
    </w:p>
    <w:p>
      <w:r>
        <w:rPr>
          <w:b/>
        </w:rPr>
        <w:t xml:space="preserve">Quelle: </w:t>
      </w:r>
      <w:r>
        <w:t>https://mcp.opencaselaw.ch/entscheid/ge_gerichte_P_10454_2011</w:t>
      </w:r>
    </w:p>
    <w:p>
      <w:r>
        <w:t>FR: GE_GERICHTE P/10454/2011 du 3 mai 2012</w:t>
      </w:r>
    </w:p>
    <w:p>
      <w:r>
        <w:t>IT: GE_GERICHTE P/10454/2011 del 3 maggio 2012</w:t>
      </w:r>
    </w:p>
    <w:p>
      <w:pPr>
        <w:pStyle w:val="Heading2"/>
      </w:pPr>
      <w:r>
        <w:t>Regeste</w:t>
      </w:r>
    </w:p>
    <w:p>
      <w:r>
        <w:t>; VOL(DROIT PÉNAL) ; INFRACTION D'IMPORTANCE MINEURE ; TRAVAIL D'INTÉRÊT GÉNÉRAL ; INDEMNITÉ(EN GÉNÉRAL) ; PLAIGNANT | CP.139; CP.172.ter; CP.37; CPP.433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139 ch. 1 CP, se rend coupable de vol celui qui, pour se procurer ou procurer à un tiers un enrichissement illégitime, aura soustrait une chose mobilière appartenant à autrui dans le but de se l'approprier. 2.1.2 L’art. 22 CP réunit les art. 21 al. 1 aCP (tentative inachevée, qui suppose que l’auteur a commencé l’exécution du délit, mais n’accomplit pas tous les actes en son pouvoir pour réaliser son but), 22 al. 1 aCP (délit manqué ou tentative achevée, qui suppose que l’auteur a poursuivi jusqu’au bout son activité délictueuse, le résultat ne se produisant cependant pas) et 23 aCP (délit impossible, soit lorsque le résultat escompté ne pouvait absolument pas se produire). Selon l'art. 22 CP, le juge peut atténuer la peine si l'exécution d'un crime ou d'un délit n'est pas poursuivie jusqu'à son terme ou que le résultat nécessaire à la consommation de l'infraction ne se produit pas ou ne pouvait pas se produire. Le délit manqué ne se distingue ainsi du délit consommé que par l'absence de survenance du résultat espéré. L'auteur accomplit tous les actes propres à atteindre ce résultat mais, en raison de facteurs qui lui sont étrangers, ce résultat ne se produit pas.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54s ; arrêt du Tribunal fédéral 6B_708/2008 du 22 octobre 2008 consid. 3.4). La tentative suppose que l'auteur réalise tous les éléments subjectifs de l'infraction et qu'il manifeste sa décision de la commettre, mais sans en réaliser tous les éléments objectifs (ATF 120 IV 199 consid. 3e p. 206).</w:t>
      </w:r>
    </w:p>
    <w:p>
      <w:r>
        <w:rPr>
          <w:b/>
        </w:rPr>
        <w:t>E. 2.2</w:t>
      </w:r>
    </w:p>
    <w:p>
      <w:r>
        <w:t>Au sujet du vol commis dans la nuit du 29 au 30 juin 2011, l'enquête a permis d'établir que l'appelant a pénétré dans les locaux des E______ et les a fouillés, ses empreintes ayant été mises en évidence sur les lieux après les faits. Interrogé à ce sujet, l'appelant a d'abord prétendu qu'il amenait régulièrement son fils aux E______ car celui-ci y suivait des cours. Confronté au fait que ses empreintes avaient été prélevées sur une boîte de capsules de café se trouvant à l'intérieur d'une armoire située dans un bureau de l'administration - il a changé opportunément sa version et soutenu qu'il s'était, un soir, rendu sur place pour fumer de la drogue; il avait pénétré dans les bureaux car la porte d'entrée n'était pas fermée, avait fouillé mais n'avait rien pris car il n'y avait plus rien à voler quelqu'un l'ayant précédé. On rappellera que l'appelant a aussi contesté son implication dans le vol commis dans la chambre d'hôtel occupée par B______, en expliquant dans un premier temps qu'il s'était limité à attendre son comparse en faisant quelques exercices dans la salle de fitness de l'établissement. Ce n'est qu'après avoir été formellement identifié par une employée de l'hôtel l'ayant vu fouiller dans la chambre, qu'il a fini par avouer. Compte tenu des éléments matériels mis en évidence par l'enquête corroborés par la présence non contestée de l'appelant sur les lieux de l'infraction, l'autorité d'appel a acquis la conviction que ce dernier est bien l'auteur du cambriolage. Les déclarations contradictoires et fantaisistes que celui-ci a fournies ne font qu'asseoir sa culpabilité, l'hypothèse selon laquelle un autre individu l'aurait précédé étant hautement invraisemblable dans le contexte, seules ses empreintes ayant été retrouvées sur place. En outre, la procédure a montré que l'appelant a pour habitude de mentir et de nier toute implication dans une affaire tant qu'une preuve matérielle ne l'accable. Le fait qu'il n'ait pas été retrouvé en possession des objets volés est sans importance, aucune visite domiciliaire n'ayant pu être effectuée. Le jugement entrepris sera ainsi confirmé sur ce point.</w:t>
      </w:r>
    </w:p>
    <w:p>
      <w:r>
        <w:rPr>
          <w:b/>
        </w:rPr>
        <w:t>E. 3</w:t>
      </w:r>
    </w:p>
    <w:p>
      <w:r>
        <w:t>3.1 Pour l'ensemble des infractions contre le patrimoine à l'exception notamment du brigandage et du vol qualifié dont le vol par métier (art. 139 ch. 2 CP), l'art. 172ter al. 1 CP dispose que si l'acte ne visait qu'un élément patrimonial de faible valeur ou un dommage de moindre importance, l'auteur, sera, sur plainte, puni de l'amende. La jurisprudence a admis qu'un élément patrimonial est de faible valeur s'il ne vaut pas plus de CHF 300.- (ATF 121 IV 261 consid. 2 p. 268).</w:t>
      </w:r>
    </w:p>
    <w:p>
      <w:r>
        <w:rPr>
          <w:b/>
        </w:rPr>
        <w:t>E. 3.2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3.3</w:t>
      </w:r>
    </w:p>
    <w:p>
      <w:r>
        <w:t>En l'espèce, il est établi que l'appelant et ses comparses se sont associés afin d'utiliser la carte de crédit volée à B______ auprès de P______ et qu'après avoir échoué dans leur intention initiale, ils n'ont réussi qu'à dérober deux parfums d'une valeur inférieure à CHF 300.-, se rendant ainsi coupables d'un vol d'importance mineure au préjudice de P______. Agissant en qualité de coauteurs, il est sans importance de déterminer lequel des trois hommes a emporté le butin, puisqu'ils ont agi de concert dans l'intention de se procurer des parfums, que ce soit en s'en emparant directement sans les payer ou en les payant au moyen d'une carte de crédit volée. L'implication de l'appelant est d'autant plus établie, puisqu'un emballage de parfum de l'une des deux marques dérobées a été retrouvé sur lui lors de son interpellation, le lendemain du vol. Fort de ces éléments, c'est à bon droit que le premier juge a reconnu l'appelant coupable de vol d'importance mineure au préjudice de P______. Le jugement sera ainsi confirmé sur ce point.</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Le législateur reprend, à l'art. 47 al. 1 CP, les critères des antécédents et de la situation personnelle. Il y ajoute la nécessité de prendre en considération l'effet de la peine sur l'avenir du condamné. A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w:t>
      </w:r>
    </w:p>
    <w:p>
      <w:r>
        <w:rPr>
          <w:b/>
        </w:rPr>
        <w:t>E. 4.2</w:t>
      </w:r>
    </w:p>
    <w:p>
      <w:r>
        <w:t>L'article 37 CP dispose qu'à la place d'une peine privative de liberté de moins de six mois ou d'une peine pécuniaire de 180 jours-amende au plus, le juge peut ordonner, avec l'accord de l'auteur, un travail d'intérêt général de 720 heures au plus. Le travail d'intérêt général ne peut être ordonné qu'avec l'accord de l'auteur. L'exigence d'un accord ne confère pas à l'intéressé un droit d'option en faveur de l'une ou l'autre sanction pénale. Le critère pertinent réside dans l'adéquation d'une sanction déterminée, ses effets sur l'auteur et l'environnement social de ce dernier ainsi que son efficacité préventive. Il faut non seulement juger si l'intéressé est disposé à effectuer un travail d'intérêt général, mais s'il y est apte et en est capable (arrêt du Tribunal fédéral 6B_541/2007 du 13 mai 2008 consid. 4.2.3).</w:t>
      </w:r>
    </w:p>
    <w:p>
      <w:r>
        <w:rPr>
          <w:b/>
        </w:rPr>
        <w:t>E. 4.3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La situation visée est celle du concours réel rétrospectif. L'idée essentielle est que la peine fixée pour les infractions antérieures ne doit pas frapper l'auteur plus durement que si un seul tribunal avait été saisi de l'ensemble des infractions entrant en concours à l'époque du précédent jugement (ATF 118 IV 119 ).</w:t>
      </w:r>
    </w:p>
    <w:p>
      <w:r>
        <w:rPr>
          <w:b/>
        </w:rPr>
        <w:t>E. 4.4</w:t>
      </w:r>
    </w:p>
    <w:p>
      <w:r>
        <w:t>En l'espèce, l'appelant a fait l'objet depuis le 16 juillet 2011, date de commission de la plus récente des infractions en cause, d'une nouvelle condamnation pour des faits commis entre décembre 2010 et le 2 juillet 2011, principalement pour des infractions de même nature, de sorte que la Chambre de céans doit prononcer une peine complémentaire à la peine privative de liberté de 180 jours-amende fixée par le Ministère public de Lausanne le 14 novembre 2011. La faute de l'appelant est lourde. Il a agi par appât d'un gain facile, même s'il soutient que son comportement est le résultat de sa dépendance aux stupéfiants. Sa collaboration a été mauvaise, puisqu'il n'a cessé de minimiser ses actes. Compte tenu de ces éléments, la quotité de la peine doit être arrêtée à 4 mois au regard des critères des art. 47 et 49 CP. En tant que l'appelant conclut au prononcé d'un travail d'intérêt général, l'autorité d'appel constate que celui-ci a été condamné à 17 reprises entre 2002 et 2011 essentiellement pour des infractions similaires. Il a bénéficié en mai 2010 d'une condamnation à 240 heures de travail d'intérêt général, qu'il n'a pas exécutée et qui a été récemment convertie en peine privative de liberté. Une nouvelle condamnation à un travail d'intérêt général apparaît par conséquent vouée à l'échec, d'autant plus s'agissant de 480 heures à exécuter, soit une peine longue. Au vu de ses mauvais antécédents, dénotant d'un réel mépris des règles en vigueur, et de son incapacité à exécuter un autre type de peine, seule une peine privative de liberté ferme est de nature à dissuader l'appelant de récidiver.</w:t>
      </w:r>
    </w:p>
    <w:p>
      <w:r>
        <w:rPr>
          <w:b/>
        </w:rPr>
        <w:t>E. 5</w:t>
      </w:r>
    </w:p>
    <w:p>
      <w:r>
        <w:t>5.1 Selon l'art. 433 CPP, la partie plaignante peut demander au prévenu une juste indemnité pour les dépenses obligatoires occasionnées par la procédure (al. 1), si elle obtient gain de cause, c'est-à-dire lorsque le prévenu est condamné (A. KUHN / Y. JEANNERET (éds), op. cit. , n. 2 ad art. 433). Il lui appartient de les chiffrer et de les justifier, car, si elle ne s'acquitte pas de cette obligation, l'autorité pénale n'entre pas en matière sur la demande (al. 2), ce qui entraîne la péremption de son droit d'obtenir une telle indemnité (A. KUHN / Y. JEANNERET (éds), op. cit. , n. 13 ad art. 433).</w:t>
      </w:r>
    </w:p>
    <w:p>
      <w:r>
        <w:rPr>
          <w:b/>
        </w:rPr>
        <w:t>E. 5.2</w:t>
      </w:r>
    </w:p>
    <w:p>
      <w:r>
        <w:t>L’hôtel A______ a obtenu en première instance l'octroi d'une indemnité de CHF 1'080.- à titre de participation à ses honoraires d'avocat et a produit une note d'honoraires complémentaire pour les frais engendrés par l'appel. Toutefois selon le jugement entrepris, l'appelant est reconnu coupable de vols aux préjudices de B______ et des E______, de vol d'importance mineure au préjudice de P______, de violation de domicile au préjudice des E______ et de tentative d'utilisation frauduleuse d'un ordinateur. Aucune des infractions retenues n'ayant été commise au préjudice de l’hôtel A______, cet établissement ne peut prétendre à l'octroi d'une indemnité de procédure au sens de l'art. 433 CPP, puisqu'il n'a pas obtenu gain de cause. C'est donc à tort que le premier juge a condamné l'appelant au versement d'une telle indemnité. Le jugement entrepris sera par conséquent réformé sur ce point.</w:t>
      </w:r>
    </w:p>
    <w:p>
      <w:r>
        <w:rPr>
          <w:b/>
        </w:rPr>
        <w:t>E. 6</w:t>
      </w:r>
    </w:p>
    <w:p>
      <w:r>
        <w:t>L'appelant, qui succombe pour l'essentiel, sera condamné aux deux tiers des frais de la procédure d'appel, comprenant un émolument de jugement de CHF 800.-, le solde étant laissé à la charge de l'Etat (art. 428 al. 1 CPP et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