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P/10427/2024 vom 4. Februar 2025</w:t>
      </w:r>
    </w:p>
    <w:p>
      <w:r>
        <w:t>GE Cour de justice, 2025-02-04, FR</w:t>
      </w:r>
    </w:p>
    <w:p>
      <w:r>
        <w:rPr>
          <w:b/>
        </w:rPr>
        <w:t xml:space="preserve">Quelle: </w:t>
      </w:r>
      <w:r>
        <w:t>https://mcp.opencaselaw.ch/entscheid/ge_gerichte_P_10427_2024</w:t>
      </w:r>
    </w:p>
    <w:p>
      <w:r>
        <w:t>FR: GE_GERICHTE P/10427/2024 du 4 février 2025</w:t>
      </w:r>
    </w:p>
    <w:p>
      <w:r>
        <w:t>IT: GE_GERICHTE P/10427/2024 del 4 febbraio 2025</w:t>
      </w:r>
    </w:p>
    <w:p>
      <w:pPr>
        <w:pStyle w:val="Heading2"/>
      </w:pPr>
      <w:r>
        <w:t>Regeste</w:t>
      </w:r>
    </w:p>
    <w:p>
      <w:r>
        <w:t>CONFRONTATION | CPP.49; CPP.286; CPP.147</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CEDH,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2.1.2.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p. 480 ; ATF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p. 49 ; arrêt du Tribunal fédéral 6B_956/2016 du 19 juillet 2017 consid. 2.3.1 et les références).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2.1.3. En vertu de l'art. 389 al. 1 CPP, la juridiction d'appel se fonde sur les preuves administrées pendant la procédure préliminaire et la procédure de première instance. L'administration des preuves du tribunal de première instance n'est répétée que si l'administration des preuves était incomplète (al. 2 let. b). Conformément à l'art. 343 al. 3 CPP, applicable par renvoi de l'art. 405 al. 1 CPP, l'administration immédiate des preuves qui, lors de la procédure préliminaire, ont été administrées en bonne et due forme doit également être réitérée durant la procédure orale d'appel, lorsque la connaissance directe du moyen de preuve apparaît nécessaire au prononcé du jugement (ATF 143 IV 288 consid. 1.4.1). Il peut s'agir d'une nécessité procédurale, lorsque les droits de la défense n'ont pas été respectés, notamment le droit d'interroger au moins une fois au cours de la procédure des témoins qui ont des renseignements utiles à fournir sur les faits de la cause (JEANNERET / KUHN / PERRIER DEPEURSINGE (éds), Commentaire romand, Code de procédure pénale suisse, 2 ème édition, Bâle 2019, n. 22ss ad art. 343). Le Tribunal fédéral a ainsi admis la nécessité pour la juridiction d'appel d'entendre un témoin, au motif que celui-ci n'avait pas été entendu en première instance (cf. arrêts du Tribunal fédéral 6B_1342/2017 du 23 novembre 2018 consid. 4 et 6B_1469/2017 du 18 juin 2018 consid. 1.4). Dans une constellation "parole contre parole", le tribunal est tenu, non seulement sur demande, mais aussi d'office, de veiller à ce que les preuves soient administrées conformément au droit et doit, par conséquent, procéder de sa propre initiative aux interrogatoires nécessaires (arrêts du Tribunal fédéral 6B_1045/2021 du 16 septembre 2022 consid. 3.2.4 et 6B_145/2018 du 21 mars 2019 consid. 2.4). 2.1.4. L'art. 286 al. 1 CP punit quiconque empêche une autorité, un membre d’une autorité ou un fonctionnaire de faire un acte entrant dans ses fonctions.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(ATF 133 IV 97 consid. 4.2 ; 127 IV 115 consid. 2) qui est réalisée, par exemple, par le fait de prendre la fuite.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La réalisation de l'infraction requiert l'intention, étant précisé que le dol éventuel suffit (arrêt du Tribunal fédéral 7B_71/2023 du 8 mai 2024 consid. 4.2). 2.2.1. En l'espèce, le TP a considéré, concernant les trois épisodes où des faits d'opposition aux actes de l'autorité sont reprochés, au vu des dénégations de l'appelant et de l'absence d'audition contradictoire des policiers que les éléments au dossier étaient insuffisants pour le condamner, ce que le MP conteste Les éléments sur lesquels se fonde le MP dans son mémoire d'appel pour établir la culpabilité de l'appelant sont les seuls rapports de police, et leur annexe, relatifs à chacun des trois complexes de faits reprochés. Or, si l'appelant s'est déterminé sur les reproches de s'être soustrait aux policiers, il en a toujours contesté la matérialité, niant notamment avoir su avoir affaire à des policiers. Cette détermination aurait dû conduire le MP à procéder aux auditions contradictoires des policiers ayant procédé aux diverses interpellations, en respect du droit du prévenu d'interroger les témoins à charge, notamment afin de déterminer si et comment ils se sont légitimés en tant que policiers, ont intimé à l'appelant l'ordre de s'arrêter, etc. Ainsi, la culpabilité de l'appelant ne saurait reposer sur les seuls rapports de police, inexploitables à charge de ce dernier au vu de ses dénégations. L'appelant n'ayant pas eu l'occasion durant la procédure préliminaire et de première instance d'interroger les principaux témoins à charge, la Cour aurait la possibilité d'entendre les policiers. Toutefois, au vu du temps écoulé depuis les faits, soit entre 14 et huit mois, il est très peu probable que ces derniers aient un souvenir précis des faits reprochés, étant en outre régulièrement confrontés à ce genre de situations, alors que le MP, qui supporte le fardeau de la preuve, n'a sollicité aucune mesure d'instruction. La Cour renonce ainsi à l'audition des témoins et à se fonder sur les rapports de police, inexploitables sur ce point. Dès lors, c'est à raison que le TP a considéré que les éléments restant au dossier ne permettent pas d'établir la culpabilité de l'appelant. En vertu du principe in dubio pro reo, ce dernier sera acquitté d'infraction à l'art. 286 al. 1 CP concernant les faits des 4 novembre 2023, 8 décembre 2023 et 2 mai 2024. Le jugement entrepris sera confirmé en ce sens. 2.2.2. L'appelant a également été reconnu coupable d'infractions aux art. 19 al. 1 let. c LStup et 119 al. 1 LEI (à sept reprises), ce qui n'est pas contesté. 3.1. Les infractions aux articles 19 al. 1 let. c LStup et 119 al. 1 LEI sont punies d’une peine privative de liberté de trois ans au plus ou d’une peine pécuniaire. 3.1.1.1.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3.1.1.2. En matière de stupéfiants, il y a lieu de tenir compte plus spécifiquement des éléments suivants. La quantité de drogue, même si elle ne joue pas un rôle prépondérant, constitue sans conteste un élément important. Le type de drogue et sa pureté doivent aussi être pris en considération (ATF 122 IV 299 consid. 2c ; ATF 121 IV 193 consid. 2b/aa), de même que le type et la nature du trafic en cause. En matière d'infraction à la législation sur les étrangers, le préjudice pour la collectivité ne doit pas être sous-estimé, y compris au plan matériel, puisque cela mobilise constamment les nombreux acteurs appelés à les réprimer ( AARP/329/2023 du 4 septembre 2023 consid 3.2.1 ; AARP/64/2023 du 20 janvier 2023 consid. 4.3). 3.1.2. En vertu de l'art. 41 CP, le juge peut prononcer une peine privative de liberté en lieu et place d'une peine pécuniaire, notamment si une peine privative de liberté paraît justifiée pour détourner l'auteur d'autres crimes ou délits (let. a).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 du Tribunal fédéral 6B_855/2023 du 15 juillet 2024 consid. 2.2.2). 3.1.3.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3.1.4.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AJP 2017 p. 408 ; ATF 142 IV 265 consid. 2.3.3 [JdT 2017 IV 129] ; ATF 141 IV 61 consid. 6.1.2 ; ATF 138 IV 113 consid. 3.4.1 p. 115 et les références citées).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p. 115 et les références citées). Il doit s'agir de peines de même genre (ATF 142 IV 265 consid. 2.3.2 et les références citées = JdT 2017 IV 129). Le juge amené à sanctionner des infractions commises antérieurement et postérieurement à un jugement précédent doit procéder en deux temps. Tout d'abord, il doit s'attacher aux infractions commises avant ledit jugement. Il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(cf. ATF 142 IV 265 consid. 2.4.4-2.4.6 p. 271 ss).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(cf. ATF 142 IV 265 consid. 2.3.2 p. 267 s. et les références citées ; arrêt du Tribunal fédéral 6B_1037/2018 du 5 février 2019 consid. 1.3). 3.2. En l'espèce, la faute de l'appelant n'est pas négligeable. Il a en effet persisté à pénétrer dans le canton de Genève, faisant ainsi fi de l'interdiction qui lui avait été notifiée et ce alors même qu'il avait été condamné pour des faits similaires. De plus il s'est rendu coupable d'infraction à l'art. 19 al. 1 let. c LStup. Par son comportement, il a ainsi porté atteinte à différents biens juridiques protégés. L'appelant a agi au mépris des interdits en vigueur pour des mobiles égoïstes et par pure convenance personnelle. Sa collaboration à la procédure n'est pas bonne. Il a certes reconnu les infractions à l'art. 119 LEI, mais ne pouvait que difficilement les contester. Il a en revanche initialement nié l'infraction à la LStup avant d'admettre une unique vente d'une boulette de cocaïne Sa prise de conscience doit donc manifestement être encore améliorée. Sa situation personnelle ne justifie pas son comportement. Au moment des faits, il disposait d'un permis de travail en Italie et même, à le suivre, de revenus au noir. Il y a concours d'infractions, ce qui justifie une augmentation de la peine dans une juste proportion. L'appelant a de nombreux antécédents spécifiques en matière d'infractions à la LEI et a récidivé, à pas moins de quatre reprises, alors qu'il exécutait deux délais d'épreuve, pour des peines avec sursis prononcées en septembre et octobre 2023, ce qui démontre que ces condamnations n'ont pas suffi à le détourner de la commission d'actes similaires. De plus, une peine pécuniaire est manifestement irrécouvrable, l'appelant étant sans revenu légal ni emploi. Sa condamnation à une peine privative de liberté en lieu et place d'une peine pécuniaire doit ainsi être confirmée. Vu l'absence de prise de conscience et les récidives nombreuses et spécifiques, commises en partie dans les délais d'épreuve, les sursis octroyés seront révoqués et une peine d'ensemble sera fixée pour la peine de même genre. Il y a en outre lieu de fixer une peine partiellement complémentaire à celle prononcée le 24 septembre 2023 par le MP (le prononcé d'une peine partiellement complémentaire à celle prononcée le 26 octobre 2023 – en lien avec l'infraction à la LEI du 5 octobre 2023 ‑ est exclu, compte tenu du genre de peine prononcé). Les infractions commises sont punies de la même peine menace. Les multiples occurrences de non-respects d'une interdiction de pénétrer dans une région déterminée sont d'égale gravité ; celles survenues les 2 juin, 26 juillet et 3 août 2023, ainsi que les infractions à la LStup survenues entre le 10 mars et le 1er juin 2023 doivent être examinées avec les faits ayant conduit à l'ordonnance pénale du 24 septembre 2023. À cet égard, si un juge avait été amené à sanctionner ces infractions ensemble, il aurait retenu comme infraction la plus grave celle à la LStup, emportant une peine privative de liberté de base de trois mois, qu'il aurait aggravée à chaque fois de 45 jours (peine théorique de 90 jours) pour chaque infraction à l'art. 119 LEI. La peine d'ensemble aurait ainsi été arrêtée à 225 jours. La peine privative de liberté additionnelle, compte tenu de celle prononcée le 24 septembre 2023, doit donc être arrêtée à 135 jours. S'agissant des faits commis les 5 octobre, 4 novembre et 8 décembre 2023, ils doivent faire l'objet d'une peine d'ensemble séparée. Chaque occurrence emporte une peine théorique de 90 jours ; la peine d'ensemble indépendante pour ces infractions sera donc arrêtée à 180 jours. L'addition de ces deux peines dépasse déjà celle fixée par le premier juge. Il n'y a donc pas lieu de l'aggraver encore pour tenir compte de la révocation du sursis octroyé le 24 septembre 2023 ; l'interdiction de la reformatio in peius (art. 391 al. 2 CPP) y fait en effet obstacle, l'appel du MP ne portant pas sur la quotité de la peine privative de liberté. La peine d’ensemble doit donc être arrêtée à huit mois, tenant compte de la détention avant jugement subie en lien avec la condamnation révoquée du 24 septembre 2023. Au vu des nombreuses récidives de l'appelant, qui n'a qu'amorcé sa prise de conscience, c'est un pronostic défavorable qui doit être posé, si bien que la peine prononcée sera ferme. Le jugement entrepris sera dès lors intégralement confirmé.</w:t>
      </w:r>
    </w:p>
    <w:p>
      <w:r>
        <w:rPr>
          <w:b/>
        </w:rPr>
        <w:t>E. 4</w:t>
      </w:r>
    </w:p>
    <w:p>
      <w:r>
        <w:t>4.1. La mesure d'expulsion facultative prononcée par le premier juge n'est pas contestée par l'appelant, étant précisé qu'il a indiqué vouloir quitter la Suisse afin de s'établir en Italie et y travailler. La durée prononcée de trois ans, soit le minimum légal, apparaît proportionnelle. Elles seront ainsi confirmées.</w:t>
      </w:r>
    </w:p>
    <w:p>
      <w:r>
        <w:rPr>
          <w:b/>
        </w:rPr>
        <w:t>E. 4.2</w:t>
      </w:r>
    </w:p>
    <w:p>
      <w:r>
        <w:t>Il n'y a pas lieu d'étendre la mesure d'expulsion prononcée à l'ensemble de l'espace Schengen, l'expulsion du territoire suisse suffisant à atteindre le but recherché.</w:t>
      </w:r>
    </w:p>
    <w:p>
      <w:r>
        <w:rPr>
          <w:b/>
        </w:rPr>
        <w:t>E. 5.1</w:t>
      </w:r>
    </w:p>
    <w:p>
      <w:r>
        <w:t>L'appelant A______, qui succombe, supportera la moitié des frais de la procédure envers l'État (art. 428 CPP), y compris un émolument d'arrêt de CHF 1'500.-. Le solde sera laissé à la charge de l'État (art. 423 CPP).</w:t>
      </w:r>
    </w:p>
    <w:p>
      <w:r>
        <w:rPr>
          <w:b/>
        </w:rPr>
        <w:t>E. 5.2</w:t>
      </w:r>
    </w:p>
    <w:p>
      <w:r>
        <w:t>Vu l'issue de la procédure, la répartition des frais de la procédure préliminaire et de première instance sera confirmée (art. 428 al. 3 CPP).</w:t>
      </w:r>
    </w:p>
    <w:p>
      <w:r>
        <w:rPr>
          <w:b/>
        </w:rPr>
        <w:t>E. 6</w:t>
      </w:r>
    </w:p>
    <w:p>
      <w:r>
        <w:t>Pour le surplus, il ne se justifie pas de revenir sur les diverses mesures de confiscation, destruction et restitution ordonnées, points qui ne sont pas contestés en appel et qui consacrent une correcte application du droit (art. 404 CPP).</w:t>
      </w:r>
    </w:p>
    <w:p>
      <w:r>
        <w:rPr>
          <w:b/>
        </w:rPr>
        <w:t>E. 7</w:t>
      </w:r>
    </w:p>
    <w:p>
      <w:r>
        <w:t>Considéré globalement, l'état de frais produit par M e B______, défenseure d'office de A______ satisfait les exigences légales et jurisprudentielles régissant l'assistance judiciaire gratuite en matière pénale. La rémunération de M e B______ sera partant arrêtée à CHF 1'248.50 correspondant à 2h30 d'activité au tarif de CHF 200.-/heure (CHF 500.-) et 5h au tarif de CHF 110.-/heure (CHF 550.-) plus la majoration forfaitaire de 10% (CHF 105.-) et l'équivalent de la TVA au taux de 8.1% en CHF 93.50.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