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P/10416/2023 vom 16. Januar 2025</w:t>
      </w:r>
    </w:p>
    <w:p>
      <w:r>
        <w:t>GE Cour de justice, 2025-01-16, FR</w:t>
      </w:r>
    </w:p>
    <w:p>
      <w:r>
        <w:rPr>
          <w:b/>
        </w:rPr>
        <w:t xml:space="preserve">Quelle: </w:t>
      </w:r>
      <w:r>
        <w:t>https://mcp.opencaselaw.ch/entscheid/ge_gerichte_P_10416_2023</w:t>
      </w:r>
    </w:p>
    <w:p>
      <w:r>
        <w:t>FR: GE_GERICHTE P/10416/2023 du 16 janvier 2025</w:t>
      </w:r>
    </w:p>
    <w:p>
      <w:r>
        <w:t>IT: GE_GERICHTE P/10416/2023 del 16 gennaio 2025</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w:t>
      </w:r>
    </w:p>
    <w:p>
      <w:r>
        <w:rPr>
          <w:b/>
        </w:rPr>
        <w:t>E. 2.1</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w:t>
      </w:r>
    </w:p>
    <w:p>
      <w:r>
        <w:rPr>
          <w:b/>
        </w:rPr>
        <w:t>E. 2.2</w:t>
      </w:r>
    </w:p>
    <w:p>
      <w:r>
        <w:t>Quiconque enfreint une assignation à un lieu de résidence ou une interdiction de pénétrer dans une région déterminée (art. 74 LEI) est passible d'une peine de droit (art. 119 al. 1 LEI). Quiconque contrevient à une décision d’expulsion du territoire de la Confédération ou d'un canton prononcée par une autorité compétente est passible d'une peine de droit (art. 291 al. 1 CP). Sur le plan subjectif, l'infraction de rupture de ban est intentionnelle, le dol éventuel étant toutefois suffisant. Il faut non seulement que l'auteur entre ou reste en Suisse volontairement, mais encore qu'il sache qu'il est expulsé ou accepte cette éventualité (arrêt du Tribunal fédéral 6B_624/2021 du 23 mars 2022 consid. 1.1).</w:t>
      </w:r>
    </w:p>
    <w:p>
      <w:r>
        <w:rPr>
          <w:b/>
        </w:rPr>
        <w:t>E. 2.3</w:t>
      </w:r>
    </w:p>
    <w:p>
      <w:r>
        <w:t>Il est établi et non contesté que l'appelant se trouvait sur le territoire de la Ville de Genève, soit en Suisse, le 13 mai 2023, à 22h15, alors qu'il faisait l'objet d'une mesure d'expulsion et d'une interdiction de quitter le sol de la commune de D______. Tant lors de sa seconde audition à la police que devant le MP, il a reconnu les faits, en particulier qu'il avait connaissance des décisions en cause, de sorte que ses soudaines dénégations lors des débats de première instance ne convainquent pas, d'autant moins qu'il a été condamné pour des faits de nature identique dix jours avant son interpellation et ne pouvait pas ignorer la teneur desdites décisions. En quittant la zone à laquelle il était assigné et en demeurant sur le territoire suisse, il a, partant non seulement réalisé les éléments constitutifs objectifs de l'infraction à l'art. 119 al. 1 LEI, mais aussi, a fortiori, ceux de la rupture de ban (art. 291 al. 1 CP). Dans la mesure où il connaissait l'existence de l'interdiction et de l'expulsion, l'appelant a, a minima, envisagé et accepté de les outrepasser en sortant du périmètre autorisé pour rester en Suisse. Le dossier ne permet aucunement d'établir qu'il existait une urgence médicale justifiant qu'il se rende dans une pharmacie hors dudit périmètre, encore moins à une heure où les magasins sont généralement fermés (22h15). Même à l'envisager, il ne saurait s'en prévaloir pour justifier le non-respect de son assignation dans la mesure où il ne s'est pas limité à cette course et s'est rendu chez E______, où il a été interpellé par la police à la suite d'une altercation physique avec ce dernier. Vu ce qui précède, les faits décrits dans l'ordonnance pénale du 15 mai 2023 sont établis et constitutifs d'une violation de l'art. 119 al. 1 LEI et de l'art. 291 al. 1 CP.</w:t>
      </w:r>
    </w:p>
    <w:p>
      <w:r>
        <w:rPr>
          <w:b/>
        </w:rPr>
        <w:t>E. 2.4</w:t>
      </w:r>
    </w:p>
    <w:p>
      <w:r>
        <w:t>L'appel doit être rejeté sur ce point et le jugement entrepris confirmé.</w:t>
      </w:r>
    </w:p>
    <w:p>
      <w:r>
        <w:rPr>
          <w:b/>
        </w:rPr>
        <w:t>E. 3</w:t>
      </w:r>
    </w:p>
    <w:p>
      <w:r>
        <w:t>3.1. Les infractions de rupture de ban (art. 291 al. 1 CP) et de non-respect d'une assignation à un lieu de résidence ou d'une interdiction de pénétrer dans une région déterminée (art. 119 al. 1 LEI) sont passibles 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 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Lors de la fixation de la peine, le juge doit tenir compte du fait que certains délinquants sont plus durement touchés par l'exécution d'une peine privative de liberté. La vulnérabilité face à la peine ne doit cependant être retenue comme circonstance atténuante que si elle rend la sanction considérablement plus dure que pour la moyenne des autres condamnés, par exemple en présence de maladies graves, de psychoses claustophobiques ou de surdimutité (arrêt du Tribunal fédéral 6B_1463/2019 du 20 février 2020 consid. 2.2.1).</w:t>
      </w:r>
    </w:p>
    <w:p>
      <w:r>
        <w:rPr>
          <w:b/>
        </w:rPr>
        <w:t>E. 3.3</w:t>
      </w:r>
    </w:p>
    <w:p>
      <w:r>
        <w:t>Le juge peut prononcer une peine privative de liberté à la place d'une peine pécuniaire a si une peine privative de liberté paraît justifiée pour détourner l’auteur d’autres crimes ou délits (let. a) ou s'il y a lieu de craindre qu’une peine pécuniaire ne puisse pas être exécutée (let. b) (art. 41 CP). La peine pécuniaire constitue la sanction principale dans le domaine de la petite et moyenne criminalité, les peines privatives de liberté ne devant être prononcées que lorsque l'État ne peut garantir d'une autre manière la sécurité publique (ATF 144 IV 313 consid. 1.1.1). 3.4.1. À la lumière de la jurisprudence sur la Directive sur le retour (Directive 2008/115/CE relative aux normes et procédures communes applicables dans les États membres au retour des ressortissants de pays tiers en séjour irrégulier), quiconque rend coupable de rupture de ban (art. 291 CP), ne peut être condamné à une peine privative de liberté que si toutes les mesures raisonnables ont été entreprises en vue de l'éloignement ou si celui-ci a échoué en raison du comportement de l'intéressé (arrêt du Tribunal 6B_66/2024 du 5 juin 2024 destiné à publication consid. 1.6.3). 3.4.2. La Directive sur le retour ne s'applique pas si le ressortissant d'un état tiers a commis, outre une infraction de rupture de ban, un ou plusieurs autres délits en dehors du droit pénal sur les étrangers, pour autant que, pris individuellement, ces délits justifient une peine privative de liberté (arrêt du Tribunal fédéral 6B_66/2024 op. cit. consid. 1.6.1 à 1.6.5). Il en va de même si le non-respect d'une interdiction de pénétrer dans une région déterminée, prononcée en raison du comportement de l'intéressé troublant ou menaçant la sécurité et l'ordre publics (art. 119 al. 1 cum art. 74 al. 1 let. a LEI) est commis en concours avec un séjour illégal (ATF 143 IV 264 consid. 2.6.2 ; 6B_1398/2020 du 10 mars 2021 consid. 1.7).</w:t>
      </w:r>
    </w:p>
    <w:p>
      <w:r>
        <w:rPr>
          <w:b/>
        </w:rPr>
        <w:t>E. 3.5</w:t>
      </w:r>
    </w:p>
    <w:p>
      <w:r>
        <w:t>L'art. 49 al. 2 CP prévoit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fixer la peine complémentaire, le juge doit estimer la peine globale de l'auteur, comme s'il devait apprécier en même temps l'ensemble des faits. Il ne peut toutefois pas revoir la peine de base, à savoir celle du premier jugement, même s'il estime que les premiers faits justifiaient une peine plus sévère ou moins sévère. Dans le cas contraire, il enfreindrait l'autorité de chose jugée de la première décision (ATF 137 IV 57 consid. 4.3.1). Pour calculer la peine complémentaire, le second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Si la peine de base contient l'infraction la plus grave, il faut alors l'augmenter au regard des faits nouveaux. Pour obtenir la peine complémentaire, le juge doit ainsi déduire la peine de base de la peine globale (ATF 142 IV 265 consid. 2.4.3).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(ATF 116 IV 14 consid. 2c ; arrêt du Tribunal fédéral 6B_144/2019 du 17 mai 2019 consid. 4.3.1). En cas de pluralité de condamnations entrées en force, et pour autant que les peines prononcées et les peines envisagées soient de même genre, il convient de considérer tout d'abord le premier groupe d'infractions composé de la première condamnation entrée en force et des infractions antérieures à juger pour fixer une première peine complémentaire (jugement du Tribunal pénal fédéral du 23 avril 2021 et rectification du 17 juin 2022 consid. 9.2.2.3 ; N. GRAA, Les implications pratiques de la récente jurisprudence du Tribunal fédéral en matière de concours [art. 49 CP], in SJ 2020 II p. 51 ss, p. 62). 3.6.1. La faute de l'appelant est importante. Il a outrepassé deux décisions dont il connaissait pourtant parfaitement la teneur, étant précisé qu'il avait déjà été condamné pour les mêmes faits à plusieurs reprises, dont dix jours avant les faits de la présente cause pour la plus récente décision. Son comportement témoigne ainsi d'un mépris caractérisé pour l'ordre juridique suisse et les décisions qui en émanent. Ses mobiles sont égoïstes. Il a agi par convenance personnelle. Sa collaboration a été contrastée et sa prise de conscience est inexistante. Il a admis tous les faits durant l'instruction, avant de se rétracter par-devant la première juge. Il n'évoque aucun regret et ne présente pas d'excuse. Sa situation personnelle, en particulier son état de santé et la précarité dans laquelle il vit, explique en partie ses agissements, mais ne les justifie aucunement. Il y a concours d'infractions passibles d'une même peine, motif d'aggravation (art. 49 al. 1 CP). Il a de (très) nombreux antécédents récents et spécifiques. Aucun élément ne permet de douter de sa pleine et entière responsabilité, laquelle est présumée. 3.6.2. Vu ce qui précède, en particulier, le nombre d'antécédents spécifiques, les faits, n'apparaissent pas, quant à la faute de l'appelant (commission de deux infractions) et aux conséquences de ses agissements (mobilisation d'agents publics), d'une gravité significativement moindre que le cas typique du comportement réprimé, de sorte qu'il ne peut pas prétendre à une exemption de peine (ATF 138 IV 13 consid. 9). 3.6.3. En l'espèce, l'interdiction de quitter le territoire assigné a été prononcée en application de l'art. 74 al. 1 let. a et let. b LEI, soit en partie pour des motifs de protection de la sécurité et de l'ordre publics (let. a), de sorte que la Directive précitée ne trouve pas application et qu'une peine privative de liberté peut être prononcée. Vu ses (très) nombreux antécédents, l'appelant n'a manifestement pas su tirer de leçon de ses précédentes condamnations. L'exécution de plusieurs peines privatives de liberté n'a pas eu l'effet escompté puisqu'il persiste à récidiver. Ce constat commande à lui seul le prononcé d'une peine privative de liberté, pour des motifs de prévention spéciale et non d'une peine pécuniaire comme le requiert la défense. À cela s'ajoute, bien qu'il ne s'agisse pas là d'une condition cumulative, qu'au vu de sa situation personnelle difficile, il y a de fortes raisons de croire qu'il ne sera pas en mesure de s'acquitter d'une peine pécuniaire, étant observé que ses perspectives de reconversion professionnelle ne sont ni étayées ni concrètes. Partant, seule une peine privative de liberté est envisageable. Contrairement à l'avis de la défense, il ne ressort pas des deux attestations médicales produites en appel, lesquelles ont été rédigées en lien avec la mesure d'assignation à un territoire déterminé, qu'une privation de liberté pourrait aggraver ses troubles psychiatriques. Le risque évoqué par les professionnels de la santé résulte plutôt d'une absence de contacts humains et d'un isolement social, de sorte que l'on ne saurait en inférer que cela fasse obstacle au prononcé d'une peine privative de liberté. 3.6.4. Les deux délits à sanctionner dans la présente cause ont été commis avant les condamnations du 4 juillet ainsi que du 28 août 2023 – étant souligné que la peine prononcée dans le cadre de cette dernière décision était complémentaire à celle fixée le 5 mai 2023 par le MP, raison pour laquelle il sera également tenu compte des infractions réprimées à teneur de cette ordonnance – et sont passibles du même genre de peine. Il y a donc concours rétrospectif (art. 49 al. 2 CP). Si tous les faits avaient fait l'objet d'un unique jugement, une peine privative de liberté de douze mois aurait été prononcée pour sanctionner les différentes infractions de rupture de ban, dite infraction devant être considérée comme la plus grave compte tenu de ses répétitions en 2022 et 2023 ainsi que des antécédents spécifiques. Cette peine aurait été aggravée de six mois pour réprimer l'infraction de non-respect d'une assignation à un lieu de résidence, commise à cinq reprises (peine hypothétique : dix mois) et de trois mois pour sanctionner les dommages à la propriété (peine hypothétique : six mois). En définitive, une peine d'ensemble de 21 mois aurait été prononcée, dont à déduire les six mois prononcés le 3 mai 2023 respectivement le 4 juillet 2023, et les huit mois prononcés le 28 août 2023 entrés en force. Partant, la peine complémentaire à prononcer in casu est d'un mois (21 moins 20). La durée de la détention avant jugement sera imputée sur la peine (art. 51 CP). Vu ce qui précède, le pronostic de l'appelant est défavorable et la peine sera ferme, les conditions de l'art. 42 al. 1 CP n'étant pas réalisées. L'appel est partiellement admis sur ce point et la décision sera réformée.</w:t>
      </w:r>
    </w:p>
    <w:p>
      <w:r>
        <w:rPr>
          <w:b/>
        </w:rPr>
        <w:t>E. 4.1</w:t>
      </w:r>
    </w:p>
    <w:p>
      <w:r>
        <w:t>L'appelant succombe en grande partie (culpabilité, exemption de peine et genre de peine). Il obtient néanmoins gain de cause sur la quotité de la peine complémentaire, point qu'il n'a pas plaidé au-delà de l'acquittement. Il se justifie, dès lors, de mettre à sa charge 80% des frais de la procédure d'appel, y compris un émolument d'arrêt de CHF 1'200.-, le solde demeurant à charge de l'État (art. 428 al. 1 CPP a contrario).</w:t>
      </w:r>
    </w:p>
    <w:p>
      <w:r>
        <w:rPr>
          <w:b/>
        </w:rPr>
        <w:t>E. 4.2</w:t>
      </w:r>
    </w:p>
    <w:p>
      <w:r>
        <w:t>Vu le verdict de culpabilité, la répartition des frais de la procédure préliminaire et de première instance sera confirmée (art. 426 al. 1 cum 428 al. 3 CPP).</w:t>
      </w:r>
    </w:p>
    <w:p>
      <w:r>
        <w:rPr>
          <w:b/>
        </w:rPr>
        <w:t>E. 5</w:t>
      </w:r>
    </w:p>
    <w:p>
      <w:r>
        <w:t>5.1. Selon l'art. 135 al. 1 CPP, le défenseur d'office est indemnisé conformément au tarif des avocats de la Confédération ou du canton du for du procès. Selon l'art. 16 al. 1 du Règlement sur l'assistance juridique et l'indemnisation des conseils juridiques et défenseurs d'office en matière civile, administrative et pénale (RAJ), l'indemnité due à l'avocat et au défenseur d'office en matière pénale est calculée selon le tarif horaire suivant, débours de l'étude inclus, collaborateur CHF 150.- (let. b).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5.2</w:t>
      </w:r>
    </w:p>
    <w:p>
      <w:r>
        <w:t>En l'occurrence, les " frais forfaitaires " seront retranchés de l'état de frais dans la mesure où le tarif horaire tient compte des débours ou frais généraux de l'étude. Le temps consacré à l'analyse du dossier et à la rédaction du mémoire d'appel sera ramené à cinq heures, volume amplement suffisant vu la faible complexité du dossier et compte tenu de ce que les mêmes arguments ont déjà été plaidés par-devant le TP. La rémunération sera arrêtée à CHF 1'264.80, correspondant à 6.5 heures d'activité au tarif de CHF 150.-/heure (CHF 975.-) plus la majoration forfaitaire de 20% (CHF 195.-) et l'équivalent de la TVA au taux de 8.1% (CHF 94.80).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