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P/1036/2015 vom 24. Januar 2018</w:t>
      </w:r>
    </w:p>
    <w:p>
      <w:r>
        <w:t>GE Cour de justice, 2018-01-24, FR</w:t>
      </w:r>
    </w:p>
    <w:p>
      <w:r>
        <w:rPr>
          <w:b/>
        </w:rPr>
        <w:t xml:space="preserve">Quelle: </w:t>
      </w:r>
      <w:r>
        <w:t>https://mcp.opencaselaw.ch/entscheid/ge_gerichte_P_1036_2015</w:t>
      </w:r>
    </w:p>
    <w:p>
      <w:r>
        <w:t>FR: GE_GERICHTE P/1036/2015 du 24 janvier 2018</w:t>
      </w:r>
    </w:p>
    <w:p>
      <w:r>
        <w:t>IT: GE_GERICHTE P/1036/2015 del 24 gennaio 2018</w:t>
      </w:r>
    </w:p>
    <w:p>
      <w:pPr>
        <w:pStyle w:val="Heading2"/>
      </w:pPr>
      <w:r>
        <w:t>Regeste</w:t>
      </w:r>
    </w:p>
    <w:p>
      <w:r>
        <w:t>ACTE D'ORDRE SEXUEL AVEC UN ENFANT ; CONTRAINTE SEXUELLE ; VIOLATION DU DEVOIR D'ASSISTANCE OU D'ÉDUCATION ; TORT MORAL | CP.123.ch1; CP.123.ch2; CP.187.ch1; CP.189.ch1; CP.219.al1; CP.97; CP.47; CP.49; CP.48.lete; CO.49</w:t>
      </w:r>
    </w:p>
    <w:p>
      <w:pPr>
        <w:pStyle w:val="Heading2"/>
      </w:pPr>
      <w:r>
        <w:t>Erwägungen</w:t>
      </w:r>
    </w:p>
    <w:p>
      <w:r>
        <w:rPr>
          <w:b/>
        </w:rPr>
        <w:t>E. 1.1</w:t>
      </w:r>
    </w:p>
    <w:p>
      <w:r>
        <w:t>Les appels et l'appel joint sont recevables pour avoir été interjetés et motivés selon la forme et dans les délais prescrits (art. 398, 399 et 400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rPr>
          <w:b/>
        </w:rPr>
        <w:t>E. 2</w:t>
      </w:r>
    </w:p>
    <w:p>
      <w:r>
        <w:t>2.1. La prescription de l'action pénale doit être examinée d'office par le juge à tous les stades de la procédure (arrêt du Tribunal fédéral 6B_673/2016 du 29 décembre 2017 consid. 3 ; ATF 129 IV 49 consid. 5.4 ; voir aussi ATF 139 IV 62 consid. 1). Conformément à l'art. 389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(al. 1). Il est tenu compte du temps pendant lequel la prescription a couru avant l'entrée en vigueur du nouveau droit (al. 2). 2.1.1. L'art. 97 CP prévoit que l'action pénale se prescrit par quinze ans si la peine maximale encourue est une peine privative de liberté de plus de trois ans (al. 1 let. b), respectivement par dix ans si la peine maximale encourue est une peine privative de liberté de trois ans (al. 1 let. c). La prescription ne court plus si, avant son échéance, un jugement de première instance a été rendu (al. 3). En cas notamment d'actes d'ordre sexuel avec des enfants (art. 187 CP) et des personnes dépendantes (art. 188 CP), ou d’infraction au sens de l’art. 189 CP dirigée contre un enfant de moins de 16 ans, la prescription de l'action pénale court en tout cas jusqu'au jour où la victime a 25 ans (al. 2). Elle est en outre soumise aux délais de prescription précités même lorsque les infractions en cause ont été commises avant l'entrée en vigueur de la modification du 5 octobre 2001, soit avant le 1 er octobre 2002, à condition qu’elle ne soit pas encore échue à cette date (al. 4). La prescription court dès le jour où l’auteur a exercé son activité coupable (art. 98 let. a CP). Selon l’art. 101 CP, sont imprescriptibles les actes d’ordre sexuel avec des enfants (art. 187 ch. 1 CP) et la contrainte sexuelle (art. 189 CP) lorsqu’ils sont commis sur des enfants de moins de 12 ans (al. 1 let. e CP), pour autant que l’action pénale ou la peine n’était pas prescrite le 30 novembre 2008 en vertu du droit applicable à cette date (al. 3). 2.1.2. Avant le 1 er janvier 2014, l’art. 97 CP prévoyait un délai de prescription unique de sept ans pour toutes infractions passibles d’une peine privative de trois ans au maximum (art. 97 al. 1 let. c aCP). Avant le 1 er octobre 2002, l’action pénale se prescrivait par dix ans si l’infraction était passible de l’emprisonnement pour plus de trois ans ou de la réclusion (art. 70 aCP).</w:t>
      </w:r>
    </w:p>
    <w:p>
      <w:r>
        <w:rPr>
          <w:b/>
        </w:rPr>
        <w:t>E. 2.2</w:t>
      </w:r>
    </w:p>
    <w:p>
      <w:r>
        <w:t>En l’espèce, en relation avec les faits reprochés à l’appelant à l’égard de l’appelante entre 2002 et 2005 à Genève, le Tribunal correctionnel a reconnu ce dernier coupable d’actes sexuels avec des enfants, punis d’une peine privative de cinq ans au plus (art. 187 ch. 1 CP), et de contrainte sexuelle, punie d’une peine privative de dix ans au plus (art. 189 al. 1 CP). Les premiers juges ont considéré à juste titre que l’action pénale n’était pas prescrite. En effet, pour la période du 1 er janvier 2002 au 12 février 2003, l’appelante, née le ______ 1991, était âgée de moins de 12 ans, de sorte que les infractions précitées sont imprescriptibles selon l’art. 101 let. e CP. Cette disposition s’applique dans la mesure où les infractions en cause n’étaient pas prescrites le 30 novembre 2008 au vu du délai de prescription applicable de 15 ans (art. 97 al. 1 let. b CP), qui ne pouvait en outre pas échoir avant les 25 ans de l’appelante (art. 97 al. 2 CP). Ce avec la précision que l’art. 97 CP s’applique aussi à la période antérieure à son entrée en vigueur le 1 er octobre 2002, dans la mesure où les infractions en cause, soumises à un délai de prescription de 10 ans sous l’ancien droit (art. 70 aCP), n’étaient pas prescrites à cette date. Pour la période du 13 février 2003 à 2005, durant laquelle l’appelante était âgée de plus de 12 ans et de moins de 16 ans, l’action pénale n’est pas prescrite, le délai de prescription applicable de 15 ans (art. 97 al. 1 let. b CP) n’étant pas échu avant le prononcé du jugement attaqué le 15 septembre 2017 (art. 97 al. 3 CP).</w:t>
      </w:r>
    </w:p>
    <w:p>
      <w:r>
        <w:rPr>
          <w:b/>
        </w:rPr>
        <w:t>E. 2.3</w:t>
      </w:r>
    </w:p>
    <w:p>
      <w:r>
        <w:t>Le Tribunal correctionnel a aussi reconnu l’appelant coupable de violation du devoir d’assistance ou d’éducation, passible d’une peine privative de liberté de trois ans au plus (art. 219 al. 1 CP), en relation avec les faits qui lui sont reprochés à l’égard de E______ au plus tard” en 2011. Compte tenu du délai de prescription de sept ans prévu par le droit en vigueur avant le 1 er janvier 2014 (art. 97 al. 3 aCP), les premiers juges ont considéré à juste titre que l’action pénale n’était pas prescrite en rapport avec une violation du devoir d’assistance ou d’éducation survenue en 2011.</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4</w:t>
      </w:r>
    </w:p>
    <w:p>
      <w:r>
        <w:t>4.1. A teneur de l’art. 187 ch. 1 CP, se rend coupable d’actes d’ordre sexuel avec des enfants celui qui aura commis un acte d’ordre sexuel sur un enfant de moins de 16 ans. La notion d'acte d'ordre sexuel ne peut s'étendre qu'à des comportements graves, clairement attentatoires au bien juridique protégé (ATF 131 IV 100 consid. 7.1 et 125 IV 58 consid. 3a et 3 b). De manière générale, un acte d'ordre sexuel est une activité corporelle sur soi-même ou sur autrui, qui tend à l'excitation ou à la jouissance sexuelle de l'un des participants au moins (arrêt du Tribunal fédéral 6S.117/2006 du 9 juin 2006 consid. 2.1). La doctrine et la jurisprudence distinguent trois types d'actes : les actes n'ayant aucune apparence sexuelle, les actes clairement connotés sexuellement d'un point de vue objectif et les cas équivoques. Dans les cas équivoques, la jurisprudence et la doctrine privilégient une appréciation objective qui ne prend pas en compte les mobiles de l'auteur. Il faut que, pour un observateur extérieur, le comportement apparaisse clairement comme un acte à caractère sexuel au vu de l'ensemble des circonstances (ATF 125 IV 58 consid. 3b ; A. DONATSCH, Strafrecht III, Delikte gegen den Einzelnen , 9e éd., Zürich 2008, p. 460 ; M. NIGGLI / H. WIPRÄCHTIGER [éd.], Basler Kommentar, Strafrecht II , Art. 111-392 StGB, 2e éd., Bâle 2007, n. 26 ad . art. 187). Il convient notamment de prendre en compte l'âge de la victime, sa différence d'âge avec l'auteur, la durée et l'intensité de l'acte, ainsi que le lieu choisi par l'auteur (ATF 125 IV 58 consid. 3b = SJ 1999 I p. 439 ; arrêts du Tribunal fédéral 6S.117/2006 du 9 juin 2006 consid. 2.1 et 6S.355/2006 du 7 décembre 2006 consid. 3.1). La notion d'acte d'ordre sexuel est par conséquent une notion relative qu'il convient d'interpréter plus largement lorsque la victime est un enfant (arrêt du Tribunal fédéral 6S.117/2006 du 9 juin 2006 consid. 2.1 et références citées).</w:t>
      </w:r>
    </w:p>
    <w:p>
      <w:r>
        <w:rPr>
          <w:b/>
        </w:rPr>
        <w:t>E. 4.2</w:t>
      </w:r>
    </w:p>
    <w:p>
      <w:r>
        <w:t>En l’espèce, l’accusation d’actes sexuels avec un enfant repose entièrement sur les déclarations de l’appelante, dont la crédibilité est dès lors déterminante.</w:t>
      </w:r>
    </w:p>
    <w:p>
      <w:r>
        <w:rPr>
          <w:b/>
        </w:rPr>
        <w:t>E. 4.2.1</w:t>
      </w:r>
    </w:p>
    <w:p>
      <w:r>
        <w:t>L’appelante a décrit de manière constante et précise dans la présente procédure que, régulièrement, entre ses 10 et 14 ans, lors de moments où elle s’était trouvée seule avec l’appelant dans le salon ou dans sa chambre, ce dernier avait exhibé son propre sexe en érection devant elle, l’avait obligée à le masturber et avait caressé son ventre et son sexe sous sa culotte, en y introduisant les doigts. L’appelant lui disait expressément de ne pas en parler à sa mère. L’appelante a détaillé, sans varier dans ses propos, les circonstances dans lesquelles ces actes ont débuté, leur fréquence et la manière dont ils ont évolué. Elle a en particulier expliqué sa stupeur face aux agissements de l’appelant, son incapacité de réagir et de s’opposer à lui, ainsi que la gradation des attouchements. Elle a même pu décrire le pot de vaseline utilisé par l’appelant, dont l’existence a été confirmée par sa mère. La seule imprécision résultant des déclarations de l’appelante a trait à la période des actes, dont elle situe le début en 2001 ou 2002, vers ses 10, 11 ou 12 ans, et la fin en 2003 ou 2004, respectivement au début de l’année 2005. Une certaine fluctuation sur ce point est cependant compréhensible compte tenu du temps écoulé et il ressort en tout état de cause desdites déclarations que les actes dénoncés ont duré environ trois ans. Les déclarations de l’appelante ne comportent au demeurant aucune exagération. Cette dernière a constamment circonscrit les agissements de l’appelant, en précisant par exemple qu’il n’avait jamais éjaculé devant elle, qu’il l’avait pénétrée avec les doigts mais jamais avec son sexe et qu’il ne l’avait pas entraînée à des fellations. L’appelante a également décrit en détail et avec constance les circonstances des attouchements survenus lors des vacances au Portugal en 2003 et 2004, et au ______ en 2005, concernant des faits pour lesquels la procédure a été classée en première instance faute de compétence à raison du lieu. Les déclarations de l’appelante ne sont pour le surplus pas en contradiction avec le dossier. Aux titres d’exemples, le fait qu’elle a eu des premières règles douloureuses à l’âge de 11 ou 12 ans ou que l’appelant portait un short dont son sexe pouvait dépasser a été confirmé par G______. La description par l’appelante de son état dépressif et, plus particulièrement, de sa tentative de suicide en janvier 2012, ressortent des attestations et rapports médicaux versés au dossier. Et sa description du comportement violent de l’appelant, sur lequel il sera revenu plus tard, recoupe les témoignages de ses frères et de sa mère (cf. infra consid. 6.2). Les incohérences pointées par l’appelant, dont certaines ne trouvent aucun écho dans le dossier, concernent des points de détail ou relèvent de l’appréciation du prévenu. Elles n’influencent pas le raisonnement qui précède, dans la mesure où elle n’enlève rien à la constance des déclarations de l’appelante concernant le déroulement des attouchements eux-mêmes, point déterminant dans l’examen de la crédibilité desdites déclarations. L’appelant reproche en particulier au Tribunal correctionnel de ne pas avoir tenu compte de la présence de la nounou qui pourtant partageait la chambre de C______. Or, il ressort de ses explications que la nounou a logé au domicile familial jusqu’au début de la scolarité de E______, soit jusqu’à la rentrée scolaire de l’année des quatre ans de ce dernier, en 2002. Elle n’était donc plus là en tous les cas durant la plus grande partie de la période où ils ont eu lieu.</w:t>
      </w:r>
    </w:p>
    <w:p>
      <w:r>
        <w:rPr>
          <w:b/>
        </w:rPr>
        <w:t>E. 4.2.2</w:t>
      </w:r>
    </w:p>
    <w:p>
      <w:r>
        <w:t>Les difficultés exprimées par l’appelante à évoquer les abus et le fait qu’elle en a parlé pour la première fois à son ami, J______, puis à sa psychologue, K______, en 2010 ou 2011, et enfin à sa mère, G______, en janvier 2012, juste après la mort accidentelle de sa meilleure amie, ressortent aussi du dossier. Il en va de même de sa tentative de suicide subséquente, qui atteste du choc qu’a représenté pour elle la révélation des attouchements à sa mère. G______ a par ailleurs expliqué avoir immédiatement cru sa fille, raison pour laquelle elle avait décidé de quitter l’appelant et de l’exclure du domicile. K______ a quant à elle constaté, en relation avec les crises d’angoisse de l’appelante qui se manifestaient en séance lorsque les abus étaient abordés, que les affects de sa patiente étaient congruents, respectivement que son récit n’était pas élaboré ni préparé. Le père de l’appelante, sa tante ainsi que l’infirmière qui l’a suivie lors de sa prise en charge par l’UIMPV dès 2015 ont également confirmé avoir été mis au courant, plus tard, des abus en cause par l’appelante. Bien que celle-ci ne se soit jamais confiée à ses deux frères au sujet des abus et que ceux-ci ne se soient jamais doutés des agissements reprochés à leur ex beau-père, ils ont déclaré ne pas imaginer que leur sœur pût mentir à ce sujet. La thèse de l’appelant, selon laquelle l’appelante souffrirait d’un trouble borderline qui la pousserait à inventer les accusations en cause de manière inconsciente afin d’attirer l’attention sur elle et ainsi compenser son sentiment d’abandon par sa famille, ne trouve aucun appui dans les pièces médicales du dossier ni dans les témoignages des professionnels de la santé ayant suivi la plaignante. Il ne résulte au surplus du dossier aucune tendance au mensonge ni même à l’exagération de l’appelante.</w:t>
      </w:r>
    </w:p>
    <w:p>
      <w:r>
        <w:rPr>
          <w:b/>
        </w:rPr>
        <w:t>E. 4.2.3</w:t>
      </w:r>
    </w:p>
    <w:p>
      <w:r>
        <w:t>Rien ne permet en définitive de supposer que l’appelante n’a pas dit la vérité au sujet des abus dénoncés. Il ne ressort d’aucun élément du dossier, en particulier des déclarations des thérapeutes ayant suivi l’appelante, que ses souvenirs y relatifs ne correspondraient pas à la réalité. Elle n’a en outre pas d’intérêt à discréditer sans raison l’appelant dans la mesure où elle n’a plus de contact avec lui depuis 2012. Elle n’a pas manifesté de haine ou de rancœur à son encontre permettant de penser qu’elle chercherait à se venger. En atteste le fait qu’elle n’a pas dénoncé les agissements de l’appelant de sa propre initiative, mais seulement lors de son audition dans le cadre de la présente procédure, ouverte à la suite des révélations de G______ au Tribunal des mineurs. A cet égard, différents témoins, parmi lesquels la mère et le père de l’appelante, ont mentionné les réticences de cette dernière à porter plainte au vu de la charge émotionnelle que cela représentait pour elle. Elle a enfin manifesté de fortes émotions en audience, lors des confrontations avec l’appelant, lesquelles ont provoqué chez elle des pleurs et des tremblements. A l’inverse, l’appelant s’est borné à contester les accusations de l’appelante, disant qu’il n’en comprenait pas les raisons et qu’elles ne pouvaient être motivées que par des considérations financières. Il résulte pourtant du dossier qu’une indemnisation de l’appelante n’a jamais été évoquée par cette dernière avant la présente procédure.</w:t>
      </w:r>
    </w:p>
    <w:p>
      <w:r>
        <w:rPr>
          <w:b/>
        </w:rPr>
        <w:t>E. 4.3</w:t>
      </w:r>
    </w:p>
    <w:p>
      <w:r>
        <w:t>En conclusion, en dépit des dénégations de l’appelant, il est établi que ce dernier a régulièrement et progressivement, entre l’année 2002 et le début de l’année 2005, lorsqu’il se trouvait seul avec l’appelante, dans sa chambre ou le salon de leur domicile, exhibé son sexe en érection devant elle, qu’il l’a amenée à le masturber et qu’il a caressé le sexe de la jeune fille sous la culotte de cette dernière en y introduisant ses doigts. L’appelante étant alors âgée de moins de 16 ans et ces faits étant constitutifs d’actes d’ordre sexuel, en relation avec lesquels l’intention de l’appelant ne fait aucun doute, la condamnation de ce dernier pour actes sexuels avec des enfants sera confirmée.</w:t>
      </w:r>
    </w:p>
    <w:p>
      <w:r>
        <w:rPr>
          <w:b/>
        </w:rPr>
        <w:t>E. 5</w:t>
      </w:r>
    </w:p>
    <w:p>
      <w:r>
        <w:t>5.1.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Les infractions réprimant la contrainte sexuelle interdisent toute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 recourt à la violence, mais qu'il suffit que la victime ait été placée dans une situation où, en raison des circonstances, sa soumission est compréhensible (ATF 128 IV 97 consid. 2b, 124 IV 154 consid. 3b et 106 consid. 3a/bb). Pour déterminer si l'on se trouve en présence d'une contrainte sexuelle, il faut procéder à une appréciation globale des circonstances concrètes déterminantes.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et 106 consid. 3b/aa ; arrêt du Tribunal fédéral 6P.63/2005 du 24 juin 2005 consid. 7.1). 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manifester une agression physique et à remplir ainsi le critère de la violence. Toutefois, pour que la contrainte soit réalisée, il faut au moins que les circonstances concrètes rendent la soumission de l'enfant compréhensible (ATF 128 IV 97 consid. 2b et 124 IV 154 consid. 3b ; arrêt du Tribunal fédéral 6P.63/2005 du 24 juin 2005 consid. 7.1.1). Les art. 187 et 189 CP protégeant deux biens juridiques différents, leur concours est admis pour autant que la pression psychique exercée soit notable. L'exploitation des rapports généraux de dépendance ou d'amitié ne suffit en règle générale pas pour admettre une pression psychologique au sens de l'art. 189 al. 1 CP (ATF 128 IV 97 consid. 2b/cc ; arrêt du Tribunal fédéral 6P.63/2005 du 24 juin 2005 consid. 7.1.1).</w:t>
      </w:r>
    </w:p>
    <w:p>
      <w:r>
        <w:rPr>
          <w:b/>
        </w:rPr>
        <w:t>E. 5.2</w:t>
      </w:r>
    </w:p>
    <w:p>
      <w:r>
        <w:t>En l’espèce, il ressort du dossier et il est admis par l’appelant lui-même qu’il a, dès le début de sa relation avec G______ en 2001, endossé le rôle de père de famille et pris en charge l’éducation des enfants. Il exerçait sur eux une forte autorité, devant laquelle la mère tendait à s’effacer, et se montrait violent à l’égard des deux frères de l’appelante (cf. infra consid. 6.2). Dans ces circonstances, compte tenu également du jeune âge de l’appelante, il est naturel que celle-ci se soit sentie impuissante et qu’elle ne lui ait pas résisté lorsqu’il l’amenait à le masturber ou qu’il caressait son sexe, à des moments où il était seul avec elle. Son infériorité cognitive et sa dépendance sociale vis-à-vis de l’appelant étaient telles que celui-ci a pu exercer une contrainte sur elle, sans violence physique, mais par une pression psychique irrésistible. Les explications de l’appelante selon lesquelles elle se sentait même terrifiée sont au demeurant très crédibles, à tel point le comportement de l’appelant a dû la surprendre et la choquer. On peut aussi comprendre que ce sentiment ait été amplifié par le fait que l’appelant possédait une arme à feu et qu’il se montrait habituellement violent à l’égard de ses frères. L’appelant n’a au surplus pas pu ignorer, au vu de la position de l’appelante et de sa réaction, qu’elle n’était pas consentante et se soumettait à lui.</w:t>
      </w:r>
    </w:p>
    <w:p>
      <w:r>
        <w:rPr>
          <w:b/>
        </w:rPr>
        <w:t>E. 5.3</w:t>
      </w:r>
    </w:p>
    <w:p>
      <w:r>
        <w:t>Les actes reprochés à l’appelant vis-à-vis de l’appelante entre 2002 et 2005 sont dès lors également constitutifs de contrainte sexuelle, infraction qui entre en concours avec les actes d’ordre sexuels avec des enfants et pour laquelle la condamnation de l’appelant sera en conséquence confirmée.</w:t>
      </w:r>
    </w:p>
    <w:p>
      <w:r>
        <w:rPr>
          <w:b/>
        </w:rPr>
        <w:t>E. 6</w:t>
      </w:r>
    </w:p>
    <w:p>
      <w:r>
        <w:t>6.1. Selon l’art. 219 al. 1 CP, viole son devoir d’assister ou d’élever une personne mineure celui qui met en danger le développement physique ou psychique de ce dernier. Cette disposition protège le développement physique et psychique du mineur, soit d'une personne âgée de moins de 18 ans (ATF 126 IV 136 consid. 1b et 125 IV 64 consid. 1a).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(ATF 125 IV 64 consid. 1a).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et 125 IV 64 consid. 1a).</w:t>
      </w:r>
    </w:p>
    <w:p>
      <w:r>
        <w:rPr>
          <w:b/>
        </w:rPr>
        <w:t>E. 6.2</w:t>
      </w:r>
    </w:p>
    <w:p>
      <w:r>
        <w:t>En l’espèce, selon les témoignages de l’appelante, de G______, de H______ et de E______, l’appelant se montrait violent à l’égard des deux garçons, aussi bien physiquement que verbalement, en particulier vis-à-vis du cadet. L’appelant assénait des coups à ce dernier, au moins deux ou trois fois par mois, notamment au moyen d’objets tels qu’une ceinture ou une cuillère à bois. Il en résultait des marques sur le corps de E______, sur lesquels son frère et sa sœur l’aidaient à appliquer de la crème. La tante des trois enfants, N______, a déclaré que, lors de repas pris en sa présence, l’appelant élevait la voix et traitait E______ de "nul, imbécile, gros", ce qui le blessait au point où il devait se retenir de pleurer. Les déclarations des précités sont cohérentes et ne semblent pas résulter d’un récit construit au sujet duquel ils se seraient accordés, contrairement aux objections de l’appelant. On ne voit en tout état pas pour quelle raison ils l’accuseraient à tort. Les deux frères en particulier ne vivent plus avec lui depuis 2012 et ils n’ont pas entretenu de rancœur à son égard, comme en attestent les échanges de messages produits en première instance. A l'inverse, l’appelant qui nie les coups et les injures en admettant tout au plus des "tapes" ou des " fessées éducatives" n'apparait pas crédible.</w:t>
      </w:r>
    </w:p>
    <w:p>
      <w:r>
        <w:rPr>
          <w:b/>
        </w:rPr>
        <w:t>E. 6.3</w:t>
      </w:r>
    </w:p>
    <w:p>
      <w:r>
        <w:t>Il est ainsi établi que l’appelant a, au moins deux ou trois fois par mois, frappé E______, à mains nues ou au moyen d’objets, assez violemment pour lui laisser des marques sur le corps. Il le dénigrait également, en présence de tiers comme la tante des enfants. L’appelant a ainsi effectivement attenté à l’intégrité physique de E______ et pour le moins mis en danger son intégrité psychique. Dans la mesure où, comme vu plus haut, il avait immédiatement pris la place d’un véritable père au sein de la famille de G______, il y occupait, de fait, une position de garant à l’égard de E______. Il ne pouvait au surplus pas ignorer qu’en agissant de la sorte, il mettait en danger le développement physique et psychique du mineur. La condamnation de l’appelant pour violation de son devoir d’assistance ou d’éducation sera donc confirmée. Les premiers juges n’ont, en lien avec cette infraction, pris en considération que l’année 2011. Cette période pénale n’ayant pas été remise en cause en appel, son éventuel élargissement ne sera pas examiné (art. 391 al. 2 CP).</w:t>
      </w:r>
    </w:p>
    <w:p>
      <w:r>
        <w:rPr>
          <w:b/>
        </w:rPr>
        <w:t>E. 7</w:t>
      </w:r>
    </w:p>
    <w:p>
      <w:r>
        <w:t>7.1. Les actes d’ordre sexuel avec des enfants, la contrainte sexuelle et la violation du devoir d’assistance et d’éducation sont passibles d’une peine privative de liberté de respectivement 5, 10, et 3 ans, ou d’une peine pécuniaire (art. 187 ch. 1, 189 al. 1 et 219 al. 1 CP).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7.1.2.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138 IV 120 consid. 5.2 ; arrêt du Tribunal fédéral 6B_962/2016 du 29 août 2017 consid. 4.2). 7.1.3.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et 132 IV 1 consid. 6.2.1; arrêt du Tribunal fédéral 6B_246/2016 du 14 juin 2016 consid. 2.2.1). En relation avec les infractions imprescriptibles, le juge peut atténuer la peine dans le cas où l’action pénale est prescrite en vertu des art. 97 et 98 CP (art. 101 al. 2 CP). L'art. 48 let. e CP n'est par conséquent pas applicable aux crimes imprescriptibles (ATF 140 IV 145 consid. 3.2 ; arrêt du Tribunal fédéral 6B_246/2016 précité). Il convient en revanche d'appliquer par analogie la jurisprudence rendue au sujet de l'art. 48 let. e CP s'agissant de la date déterminante pour l'examen de la prescription. Ainsi la date déterminante est celle où les faits ont été souverainement établis, c'est-à-dire la date du jugement en appel (ATF 140 IV 145 consid. 3.6). 7.1.4.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S’il prononce une peine de trois ans de privation de liberté, le juge peut donc assortir du sursis une partie de la peine allant de 18 à 30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puis doit être prise en compte de manière appropriée dans un deuxième temps pour déterminer la partie de la peine qui devra être exécutée (arrêts du Tribunal fédéral 6B_1323/2015 du 2 septembre 2016 consid. 1.1 et 6B_713/2007 du 4 mars 2008 consid. 2.3). Si le juge suspend totalement ou partiellement l’exécution d’une peine, il impartit au condamné un délai d’épreuve de deux à cinq ans (art. 44 al. 1 CP).</w:t>
      </w:r>
    </w:p>
    <w:p>
      <w:r>
        <w:rPr>
          <w:b/>
        </w:rPr>
        <w:t>E. 7.2</w:t>
      </w:r>
    </w:p>
    <w:p>
      <w:r>
        <w:t>La faute de l’appelant est en l’espèce très lourde. Pendant environ trois ans, il a profité de sa position dominante dans la famille et de l’ascendant qu’il avait sur l’appelante, résultant aussi bien de la figure de père autoritaire qu’il incarnait que du jeune âge de la victime, pour régulièrement la contraindre à le masturber et à supporter des attouchements sexuels. Il a ainsi gravement nui au développement et s’en est pris à la liberté sexuelle de l’appelante sans aucun égard pour la santé de cette dernière, qui souffre encore aujourd’hui d’un état anxio-dépressif. Son seul mobile consistait dans la satisfaction égoïste de ses pulsions. Pendant au moins une année, l’appelant a également porté atteinte au développement de E______ en le frappant et en le dénigrant régulièrement, en présence de sa famille, voire de tiers. Un tel comportement témoigne d’un mépris du bien-être de l’enfant, qu’il a sans aucun scrupule pris pour cible pour soulager ses excès de colère. L’appelant n’a pas exprimé de regrets ni manifesté de prise de conscience de la gravité de ses actes. Il s’est défendu d’avoir commis les faits qui lui sont reprochés en objectant que les enfants affabulaient et s’étaient ligués contre lui. Il a même avancé que l’appelante, tout comme ses deux frères et sa mère en ce qui concernait les coups portés au cadet, l’avait dénoncé dans le seul but de lui soutirer de l’argent. En appel, il a tenté de faire passer la partie plaignante pour borderline. La situation personnelle de l'appelant n'excuse en rien ses agissements et sa responsabilité est entière. Le concours d’infractions est réel et également idéal en ce qui concerne les actes sexuels, ce qui justifie une augmentation notable de la peine au vu de la fréquence des infractions retenues et de la durée de la période pénale. L’appelant a déjà été condamné en 2012 pour des infractions contre le patrimoine, dont la nature est cependant sans rapport avec les faits de la présente procédure. Au titre de circonstance atténuante, le temps écoulé depuis la commission des infractions doit être pris en considération. A teneur du dossier, l’appelant n’a en effet pas attenté à l’intégrité sexuelle ou physique d’autres mineurs depuis qu’il a cessé d’abuser de l’appelante au début de l’année 2005, respectivement depuis qu’il s’est séparé de G______ et n’a ainsi plus été en contact direct avec E______. Les actes sexuels commis contre l’appelante avant ses 12 ans (célébrés le 13 février 2003) seraient en outre presque entièrement prescrits aujourd’hui selon l’art. 97 CP, et les deux tiers du délai de prescription concernant les actes sexuels postérieurs, respectivement la violation du devoir d’assistance et d’éducation, se sont écoulés. L’appelant sera donc mis au bénéfice de la circonstance atténuante prévue par l’art. 48 let. e CP et il sera tenu compte de la prescription selon l’art. 97 CP d’une grande partie des actes commis avant le 13 février 2003 (art. 101 al. 2 CP).</w:t>
      </w:r>
    </w:p>
    <w:p>
      <w:r>
        <w:rPr>
          <w:b/>
        </w:rPr>
        <w:t>E. 7.3</w:t>
      </w:r>
    </w:p>
    <w:p>
      <w:r>
        <w:t>Au vu des éléments susmentionnés, une peine privative de liberté de trois ans et la fixation de la part à exécuter à une année prennent adéquatement en considération la lourde faute de l’appelant, même atténuée par l’écoulement du temps, ainsi que l’absence de prise de conscience dont résulte un certain risque de récidive. Le délai d’épreuve de trois ans, tenant dûment compte de ces éléments, sera également confirmé. Une peine privative de liberté plus sévère, telle que requise par le Ministère public, ne tient manifestement pas compte de la circonstance atténuante précitée, ni du fait qu’une partie des abus sexuels et de la violation du devoir d’éducation ainsi que les lésions corporelles simples reprochées à l’appelant n’ont pas été retenues en première instance pour des raisons de prescription ou d’incompétence à raison du lieu. Le Tribunal correctionnel n’a au surplus, à juste titre, pas fixé une peine complémentaire, eu égard à la condamnation de l’appelant survenue en 2012, les peines prononcées étant d’un genre différent.</w:t>
      </w:r>
    </w:p>
    <w:p>
      <w:r>
        <w:rPr>
          <w:b/>
        </w:rPr>
        <w:t>E. 8</w:t>
      </w:r>
    </w:p>
    <w:p>
      <w:r>
        <w:t>8.1. 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H. DESCHENAUX / P.-H. STEINAUER, Personnes physiques et tutelle , 4e éd., 2001, n. 623 ; ATF 120 II 97 ). Le juge en proportionnera donc le montant et évitera que la somme accordée n'apparaisse dérisoire à la victime. S'il s'inspire de certains précédents, il veillera à les adapter aux circonstances actuelles pour tenir compte de la dépréciation de la monnaie (ATF 129 IV 22 consid. 7.2 et 125 III 269 consid. 2a). Une comparaison du montant à allouer avec d'autres affaires n'interviendra qu'avec circonspection, le tort moral ressenti dépendant de l'ensemble des circonstances de l'espèce. Une telle comparaison peut toutefois se révéler, suivant les occurrences, un élément utile d'orientation (ATF 138 III 337 consid. 6.3.3, 130 III 699 consid. 5.1 et 125 III 269 consid. 2a). A titre d'exemples, le Tribunal fédéral a fixé ou confirmé les indemnités suivantes en faveur de mineures victimes d'actes d'ordre sexuel : CHF 10'000.- à une enfant âgée de 10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6S.320/2005 du 10 janvier 2006 consid. 10.4) ; CHF 20'000.- à une fille âgée de 14 ans, que le prévenu avait caressée sur le sexe, amenée à le masturber, pénétrée à au moins quatre reprises, incitée à lui faire des fellations à au moins deux reprises, dont une où il avait éjaculé dans sa bouche, et sodomisée à une reprise (arrêt du Tribunal fédéral 6B_705/2010 du 2 décembre 2010 consid. 6.3).</w:t>
      </w:r>
    </w:p>
    <w:p>
      <w:r>
        <w:rPr>
          <w:b/>
        </w:rPr>
        <w:t>E. 8.2</w:t>
      </w:r>
    </w:p>
    <w:p>
      <w:r>
        <w:t>En l’espèce, l’appelante a subi une grave atteinte à sa personnalité en conséquence des abus commis sur elle par l’appelant pendant environ trois ans. Il en est résulté un profond mal-être durant son adolescence, ce qui ressort en particulier des déclarations de sa mère et de sa tante. Ses souffrances ont perduré après sa majorité comme en attestent les éléments médicaux versés au dossier. En état anxio-dépressif lié à la fin de sa scolarité et confrontée à la peur de l’échec de sa maturité, elle a suivi un traitement psychiatrique et psychothérapeutique du printemps 2011 à juillet 2013. Lorsque les abus étaient abordés en séance, l’appelante avait des crises d’angoisse. En janvier 2012, elle a fait une tentative de suicide après avoir dévoilé à sa mère les abus subis ; elle a ensuite été hospitalisée pendant une semaine. L’appelante a été suivie à l’UIMPV de décembre 2015 à janvier 2017 en relation avec des symptômes anxio-dépressifs invalidants ; elle présentait un tableau de stress post-traumatique complexe qui se manifestait notamment par un défaut de confiance en elle-même et aux autres, une relation particulière à son corps et une distorsion du temps en ce sens qu’elle était restée figée à l’adolescence, soit entre ses 10, 11 et 14 ans. Encore aujourd’hui, selon ses déclarations dont il n’y a pas lieu de douter au vu des éléments qui précèdent, l’appelante dort encore très mal et peine à évoluer en reprenant notamment son suivi psychiatrique. Quand bien même les souffrances de l’appelante ne peuvent pas être attribuées aux seuls agissements de l’appelant, rien ne permet d’exclure un lien de cause à effet entre eux.</w:t>
      </w:r>
    </w:p>
    <w:p>
      <w:r>
        <w:rPr>
          <w:b/>
        </w:rPr>
        <w:t>E. 8.3</w:t>
      </w:r>
    </w:p>
    <w:p>
      <w:r>
        <w:t>Compte tenu la gravité des actes sexuels en cause, de la contrainte psychique les ayant accompagnés, de leur étendue dans le temps ainsi que du profond mal-être qui en a résulté pour l’appelante et qui perdure, le montant de la réparation de son tort moral sera fixé à CHF 20'000.-. Le jugement querellé sera donc annulé et réformé sur ce point. Il n’y au surplus pas lieu, contrairement aux conclusions prises par l’appelante, de réserver la fixation d’une indemnité complémentaire pour l’avenir, dans la mesure où elle n'explique pas ni n'étaie en quoi elle subirait ou aurait à subir un dommage autre que le tort moral allégué.</w:t>
      </w:r>
    </w:p>
    <w:p>
      <w:r>
        <w:rPr>
          <w:b/>
        </w:rPr>
        <w:t>E. 9.1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9.2.1. L'appelant succombe dans la mesure où son appel est entièrement rejeté. L'appelante obtient gain de cause sur le principe d’une augmentation de son indemnité au titre de réparation de son tort moral. Dans la mesure où l’appel joint du Ministère public, lequel ne porte que sur la peine, est rejeté, il se justifie de faire supporter à l'appelant les 3/5 èmes des frais de la procédure d'appel, les 2/5 èmes restants étant laissés à charge de l'Etat. 9.2.2. Vu le résultat de la procédure d'appel, à savoir la confirmation du jugement entrepris, excepté sur la question du montant du tort moral, il n'y a pas à revenir sur le sort des frais de première instance.</w:t>
      </w:r>
    </w:p>
    <w:p>
      <w:r>
        <w:rPr>
          <w:b/>
        </w:rPr>
        <w:t>E. 10</w:t>
      </w:r>
    </w:p>
    <w:p>
      <w:r>
        <w:t>10.1.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10.2.1.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collaborateur CHF 125.- (let. b) ; chef d'étude CHF 200.- (let. c).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10.2.2.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10.3</w:t>
      </w:r>
    </w:p>
    <w:p>
      <w:r>
        <w:t>En l’espèce, de l’état de frais de B______ sont retenues 3h30 d’entretien avec le client et 3h de préparation d’audience, à l’exclusion des autres heures d’activité consacrées à la rédaction de la déclaration d’appel et à celle du bordereau de preuves, comprises dans le forfait pour activités diverses. En ce qui concerne l’étude du jugement, une activité y relative sera admise à hauteur de 1h. S’y ajoute le temps de participation aux débats de 3h30. L'indemnité due à B______ sera ainsi arrêtée à CHF 2’613.60, correspondant à 11h d'activité à CHF 200.-/heure (CHF 2'200.-), plus la majoration forfaitaire de 10% (au vu de l’activité indemnisée en première instance ; CHF 220.-) ainsi que la TVA de 8% (CHF 193.60).</w:t>
      </w:r>
    </w:p>
    <w:p>
      <w:r>
        <w:rPr>
          <w:b/>
        </w:rPr>
        <w:t>E. 10.4</w:t>
      </w:r>
    </w:p>
    <w:p>
      <w:r>
        <w:t>Le temps consacré par M e D______ à l’étude du dossier et à la préparation des débats, de 22h, en sus de 1h30 d’entretien avec la cliente et de 1h de rédaction des conclusions civiles, est excessif. Compte tenu du départ de la collaboratrice qui suivait initialement le dossier, une activité liée à une seconde prise de connaissance du dossier sera exceptionnellement admise dans la préparation des débats d’appel, dont la durée indemnisée sera troutefois arrêtée à 14h. S’y ajoute le temps de participation aux débats de 3h30. L'indemnité due à M e D______ sera ainsi arrêtée à CHF 4'752.-, correspondant à 20h d'activité à CHF 200.-/heure (CHF 4’000.-), plus la majoration forfaitaire de 10% (au vu de l’activité indemnisée en première instance ; CHF 400.-) ainsi que la TVA de 8% (CHF 352.-).</w:t>
      </w:r>
    </w:p>
    <w:p>
      <w:r>
        <w:rPr>
          <w:b/>
        </w:rPr>
        <w:t>E. 10.5</w:t>
      </w:r>
    </w:p>
    <w:p>
      <w:r>
        <w:t>De l’état de frais de M e F______ sont retenues 1h45 de conférence avec le client, 30 minutes d’examen du jugement ainsi que 30 minutes de préparation d’audience, à l’exclusion de l’activité de 30 minutes consacrée à l’étude des trois déclarations d’appel, comprise dans le forfait pour activités diverses. S’y ajoute le temps de participation aux débats de 3h30. L’indemnité due à M e F______ sera ainsi arrêtée à CHF 937.50, correspondant à 6h15 d'activité à CHF 125.-/heure (CHF 781.25), plus la majoration forfaitaire de 20% (CHF 156.25).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