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P/10339/2022 vom 7. August 2024</w:t>
      </w:r>
    </w:p>
    <w:p>
      <w:r>
        <w:t>GE Cour de justice, 2024-08-07, FR</w:t>
      </w:r>
    </w:p>
    <w:p>
      <w:r>
        <w:rPr>
          <w:b/>
        </w:rPr>
        <w:t xml:space="preserve">Quelle: </w:t>
      </w:r>
      <w:r>
        <w:t>https://mcp.opencaselaw.ch/entscheid/ge_gerichte_P_10339_2022</w:t>
      </w:r>
    </w:p>
    <w:p>
      <w:r>
        <w:t>FR: GE_GERICHTE P/10339/2022 du 7 août 2024</w:t>
      </w:r>
    </w:p>
    <w:p>
      <w:r>
        <w:t>IT: GE_GERICHTE P/10339/2022 del 7 agosto 2024</w:t>
      </w:r>
    </w:p>
    <w:p>
      <w:pPr>
        <w:pStyle w:val="Heading2"/>
      </w:pPr>
      <w:r>
        <w:t>Regeste</w:t>
      </w:r>
    </w:p>
    <w:p>
      <w:r>
        <w:t>ORDONNANCE DE NON-ENTRÉE EN MATIÈRE;DIFFAMATION;CALOMNIE;INJURE;INTERPRÉTATION(SENS GÉNÉRAL) | CPP.310; CP.173; CP.174; CP.177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nouveaux et les pièces nouvelles sont également recevables (arrêt du Tribunal fédéral 1B_550/2022 du 17 novembre 2022 consid. 2.1).</w:t>
      </w:r>
    </w:p>
    <w:p>
      <w:r>
        <w:rPr>
          <w:b/>
        </w:rPr>
        <w:t>E. 2</w:t>
      </w:r>
    </w:p>
    <w:p>
      <w:r>
        <w:t>Le recourant critique la décision du Ministère public de ne pas entrer en matière sur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2.2</w:t>
      </w:r>
    </w:p>
    <w:p>
      <w:r>
        <w:t>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La calomnie (art. 174 CP) est une forme qualifiée de diffamation, dont elle se distingue par le fait que les allégations propagées sont fausses (arrêt du Tribunal fédéral 6B_1215/2020 du 22 avril 2021 consid. 3.1). Se rend coupable d'injure au sens de l'art. 177 CP quiconque attaque autrui dans son honneur par la parole, l’écriture, l’image, le geste ou par des voies de fait.</w:t>
      </w:r>
    </w:p>
    <w:p>
      <w:r>
        <w:rPr>
          <w:b/>
        </w:rPr>
        <w:t>E. 2.3</w:t>
      </w:r>
    </w:p>
    <w:p>
      <w:r>
        <w:t>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w:t>
      </w:r>
    </w:p>
    <w:p>
      <w:r>
        <w:rPr>
          <w:b/>
        </w:rPr>
        <w:t>E. 2.4</w:t>
      </w:r>
    </w:p>
    <w:p>
      <w:r>
        <w:t>Pour apprécier si une déclaration est attentatoire à l'honneur, il faut procéder à une interprétation objective selon le sens que le destinataire non prévenu devait, dans les circonstances d'espèce, lui attribuer (ATF 145 IV 462 consid. 4.2.3; ATF 137 IV 313 consid. 2.1.3). Les mêmes termes n'ont donc pas nécessairement la même portée suivant le contexte dans lequel ils sont employés (ATF 118 IV 248 consid. 2b; ATF 105 IV 196 consid. 2). Un texte doit être analysé non seulement en fonction des expressions utilisées, prises séparément, mais aussi selon le sens général qui se dégage du texte dans son ensemble (ATF 145 IV 462 consid. 4.2.3; ATF 137 IV 313 consid. 2.1.3 p. 316).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(ATF 148 IV 409 consid. 2.3.3; arrêt du Tribunal fédéral 6B_98/2011 du 24 mars 2011 consid. 4; A. MACALUSO / L. MOREILLON / N. QUELOZ (éds), Commentaire romand, Code pénal II, vol. II, Partie spéciale : art. 111-392 CP, Bâle 2017 , n. 36 ad Intro. aux art. 173-178; cf. aussi M. NIGGLI / H. WIPRÄCHTIGER (éds ), Basler Kommentar Strafrecht II : Art. 137-392 StGB, 4ème éd., Bâle 2019, n. 34 et ss ad Vor Art. 173 ).</w:t>
      </w:r>
    </w:p>
    <w:p>
      <w:r>
        <w:rPr>
          <w:b/>
        </w:rPr>
        <w:t>E. 2.5</w:t>
      </w:r>
    </w:p>
    <w:p>
      <w:r>
        <w:t>En l'espèce, les pans entiers du courrier du 21 août 2021 par lesquels les mis en cause critiquent uniquement les compétences professionnelles du recourant peuvent être d'emblée écartés de l'examen du caractère attentatoire à l'honneur des propos litigieux. Demeurent les allégations de " harcèlement moral " le visant et les qualificatifs le désignant comme une personne " manipulatrice " et " nuisible " qui, pris isolément, pourraient être de nature à faire apparaître le recourant comme méprisable. Toutefois, à teneur de son contenu, le courrier en question avait pour but d'informer les dirigeants de l'association des conditions régnant au secrétariat depuis l'arrivée du recourant, avec qui la collaboration était dépeinte comme impossible. Lors de leurs auditions, les cinq signataires ont tous confirmé avoir approuvé le contenu de la missive. Même si deux d'entre eux ont déclaré n'avoir jamais eu de difficulté directement avec le recourant, ils ont néanmoins affirmé avoir été témoins de comportements problématiques de celui-ci, raison qui a notamment pu pousser F______ à agir " par solidarité avec ses collègues ". Le courrier a été adressé aux membres du conseil de l'association et aux coprésidents, dans le but de demander le licenciement du recourant. Les griefs des mis en cause à l'encontre de ce dernier, bien que formulés de manière peu révérencieuse, poursuivaient donc cette unique finalité et c'est bien ce qu'il ressort d'une lecture globale de la lettre du 21 août 2021. Les destinataires connaissaient les protagonistes et le conflit les opposant. L'association a même demandé l'établissement d'un audit " relationnel ", visant notamment à améliorer les rapports humains à l'interne. Ils pouvaient donc inférer qu'au-delà des termes choisis, les mis en cause cherchaient avant tout à exprimer leur mécontentement face au recourant, dont ils souhaitaient obtenir le départ, plutôt que de porter des jugements de valeur à l'encontre de celui-ci ou de l'injurier. Les mis en cause ont, en outre, uniquement adressé leur courrier aux responsables de l'association. Si la lettre du 21 août 2021 a dû être transmise à la Caisse de chômage du recourant, cela ne saurait leur être imputé. Compte tenu de ce qui précède, les propos tenus (ou soutenus) par les mis en cause dans leur lettre litigieuse, pris dans leur ensemble, ne constituent pas une atteinte à l'honneur du recourant. Le Ministère public pouvait donc valablement décider de ne pas entrer en matière sur les faits dénoncés, sans procéder aux actes d'instruction sollicités.</w:t>
      </w:r>
    </w:p>
    <w:p>
      <w:r>
        <w:rPr>
          <w:b/>
        </w:rPr>
        <w:t>E. 3</w:t>
      </w:r>
    </w:p>
    <w:p>
      <w:r>
        <w:t>Justifiée, l'ordonnance querellée sera donc confirmée. Le recours, qui s'avère infondé, pouvait être traité d'emblée sans échange d'écritures ni débats (art. 390 al. 2 et 5 a contrario CPP).</w:t>
      </w:r>
    </w:p>
    <w:p>
      <w:r>
        <w:rPr>
          <w:b/>
        </w:rPr>
        <w:t>E. 4</w:t>
      </w:r>
    </w:p>
    <w:p>
      <w:r>
        <w:t>Le recourant, qui succombe, supportera les frais envers l'État, fixés en intégralité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