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P/10304/2017 vom 3. Juni 2019</w:t>
      </w:r>
    </w:p>
    <w:p>
      <w:r>
        <w:t>GE Cour de justice, 2019-06-03, FR</w:t>
      </w:r>
    </w:p>
    <w:p>
      <w:r>
        <w:rPr>
          <w:b/>
        </w:rPr>
        <w:t xml:space="preserve">Quelle: </w:t>
      </w:r>
      <w:r>
        <w:t>https://mcp.opencaselaw.ch/entscheid/ge_gerichte_P_10304_2017</w:t>
      </w:r>
    </w:p>
    <w:p>
      <w:r>
        <w:t>FR: GE_GERICHTE P/10304/2017 du 3 juin 2019</w:t>
      </w:r>
    </w:p>
    <w:p>
      <w:r>
        <w:t>IT: GE_GERICHTE P/10304/2017 del 3 giugno 2019</w:t>
      </w:r>
    </w:p>
    <w:p>
      <w:pPr>
        <w:pStyle w:val="Heading2"/>
      </w:pPr>
      <w:r>
        <w:t>Regeste</w:t>
      </w:r>
    </w:p>
    <w:p>
      <w:r>
        <w:t>IN DUBIO PRO REO ; CONFISCATION(DROIT PÉNAL) | LCR.97.al1; OAV.14; CPP.10.al3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389 CPP, la procédure de recours se fonde sur les preuves administrées pendant la procédure préliminaire et la procédure de première instance (al. 1).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6B_20/2017 du 6 septembre 2017 consid. 2.1 ; 6B_1173/2016 du 7 août 2017 consid. 2.1 ; 6B_259/2016 du 21 mars 2017 consid. 5.1.2 et les références).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arrêts du Tribunal fédéral 6B_1032/2016 du 16 mai 2017 consid. 3 ; 6B_71/2016 du 5 avril 2017 consid. 2.1.3).</w:t>
      </w:r>
    </w:p>
    <w:p>
      <w:r>
        <w:rPr>
          <w:b/>
        </w:rPr>
        <w:t>E. 2.2</w:t>
      </w:r>
    </w:p>
    <w:p>
      <w:r>
        <w:t>Les images de surveillance en douane ne sont plus disponibles (art. 7 de l'Ordonnance régissant l'utilisation d'appareils de prise de vue, du 4 avril 2007 - RS 631.053); la requête sur ce point est ainsi sans objet. S'agissant des autres actes requis, en l'état la Cour considère qu'elle a suffisamment d'éléments au dossier pour trancher la cause et a réservé, sur question préjudicielle, une reprise de l'instruction si, au cours de sa délibération, des éléments nécessaires à sa décision devaient apparaître insuffisamment établis et nécessiter des investigations complémentaires.</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3.1.2. Le tribunal apprécie librement les preuves recueillies selon l'intime conviction qu'il retire de l'ensemble de la procédure (art. 10 al. 2 CPP). À l'instar des autres moyens de preuve, le juge apprécie librement la force probante d'une expertise, dont celles portant sur l'analyse de profils d'ADN,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Lausanne 2011, p. 38 ; M. PHIPPS / S. PETRICEVIC, "The tendency of individuals to transfer DNA to handled items" ,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Morphological and genetic studies, in Forensic Science International" ,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 Forensic Science International 2002 (129),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PJA 2013, p. 1217 ss, p. 3.1.3. Se rend coupable de brigandage celui qui commet un vol en usant de violence à l'égard d'une personne, en la menaçant d'un danger imminent pour la vie ou l'intégrité corporelle ou en la mettant hors d'état de résister (art. 140 ch. 1 al. 1 CP).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 volume I, 3e édition, Berne 2010, n. 9 ad art. 140 CP). 3.2.1. En l'espèce, les charges reposent essentiellement sur les traces ADN trouvées sur l'une des manches de la partie plaignante. Cet élément constitue un élément important mais ne saurait toutefois suffire à établir la culpabilité de l'appelant, dans la mesure où l'instruction n'a pu établir de manière certaine la façon dont cet ADN s'est trouvé sur la veste de la partie plaignante. D'une part, bien que le rapport de police mentionne l'existence d'un rapport complet et détaillé sur les analyses effectuées, ce document ne figure pas au dossier, de sorte que l'on ignore les détails et la nature de la correspondance ADN mise en évidence. D'autre part, il n'est pas exclu que l'ADN ait pu être laissé sur la partie plaignante dans un contexte différent de celui-de l'agression. En particulier, il n'est effective-ment pas impossible que l'appelant ait laissé des traces sur la partie plaignante lors de l'une de ses " interventions " ou en touchant la partie plaignante d'une quelconque autre façon, notamment dans un bar ou un restaurant des Q______, ce d'autant plus que cette dernière a admis avoir pris un verre et traversé ce quartier aux environs de la date de l'agression. L'instruction n'a pas non plus permis de déterminer si l'ADN trouvé sur la partie plaignante aurait pu être transféré par une personne ou un objet avec lequel l'appelant aurait été préalablement en contact. L'ADN de l'appelant suffit d'autant moins à établir sa culpabilité, qu'aucun autre élément du dossier ne permet de le lier au brigandage. A cet égard, il sera retenu que les perquisitions du domicile, du lieux de travail et de la voiture de l'appelant n'ont permis de trouver aucun élément incriminant. De même, l'analyse de ses rétroactifs et données GPS n'ont pas même permis de démontrer que l'appelant se serait trouvé dans les environs du lieu de commission de l'infraction au moment des faits ou les jours précédents. A ceci s'ajoute que les déclarations de la partie plaignante ont été confuses, fluctuantes voire contradictoires, notamment concernant les sommes d'argent et les objets qui lui aurait été dérobés. La description que fait la parie plaignante de ses agresseurs immédiatement après le brigandage ne correspond pas à celle de l'appelant dans la mesure où il les décrit comme n'étant " pas très grands " et " costauds mais pas trop " avant de préciser plus tard que la carrure de l'appelant correspondait à celle de ses assaillants, alors que l'appelant est grand et fort, comme la CPAR a pu l'observer. De même, on entend la partie plaignante converser avec une personne non identifiée sur le deuxième enregistrement téléphonique, alors même que cette dernière a toujours soutenu n'avoir appelé la police en compagnie de son épouse que lors du troisième appel. Faute d'instruction sur ce point, qui n'est apparu que suite à un acte d'enquête (pourtant élémentaire) ordonné par la CPAR, l'identité et le rôle de cette tierce personne n'a pu être établi alors que cet élément aurait pu contribuer à éclaircir les faits. Par ailleurs, dans la mesure où il est vraisemblable que la partie plaignante n'a pas été agressée au hasard mais bien plutôt au bénéfice d'informations que seul un nombre restreint de personnes pouvait connaître, il est regrettable qu'aucun acte d'instruction n'ait été entrepris afin de rechercher d'éventuels liens entre l'appelant et les collègues de la partie plaignante. Au regard de ce qui précède, il n'est pas établi, au-delà de tout doute insurmontable, que l'appelant aurait été l'un des auteurs du brigandage perpétré à l'encontre de la partie plaignante. Ainsi, en vertu du principe in dubio pro reo , l'appelant sera acquitté du chef de brigandage, le jugement de première instance devant être modifié sur ce point. 3.2.2. Compte tenu de la solution présentement retenue il n'y a pas lieu d'ordonner des investigations complémentaires.</w:t>
      </w:r>
    </w:p>
    <w:p>
      <w:r>
        <w:rPr>
          <w:b/>
        </w:rPr>
        <w:t>E. 4</w:t>
      </w:r>
    </w:p>
    <w:p>
      <w:r>
        <w:t>4.1.1. A teneur de l'art. 97 al. 1 LCR, est puni d'une peine privative de liberté de trois ans au plus ou d'une peine pécuniaire quiconque falsifie ou contrefait des plaques de contrôle pour en faire usage (let. e) ainsi que quiconque utilise des plaques falsifiées ou contrefaites (let. f). Des copies fidèles de vraies plaques de contrôle sont considérées comme falsifiées au sens de l'art. 97 al. 1 let. e et f LCR parce qu'elles n'ont pas été établies par l'autorité compétente. Le matériel utilisé n'est pas déterminant (ATF 143 IV 515 consid. 1.2). Il est fait usage des plaques de contrôle au sens de l'art. 97 al. 1 let. f LCR lorsque celles-ci sont posées sur un véhicule et introduites dans le trafic roulant ou immobilisé sur des routes publiques. Aucune intention ou action d'induire en erreur n'est requise (ATF 143 IV 515 consid. 1.3). L'usage par négligence est punissable (ATF 143 IV 515 consid. 1.1). 4.1.2. Selon l'art. 14 al. 1 OAV, parmi les véhicules auxquels est attribuée une plaque interchangeable, ou un jeu de telles plaques, seul peut circuler sur la voie publique celui qui est muni de la plaque ou du jeu de plaques. A teneur de l'art. 60 ch. 2 al. 2 OAV, celui qui n'aura pas observé des restrictions, des conditions ou des délais liés, en vertu de la présente ordonnance, à une autorisation ou à un permis spécial de circulation, en particulier celui qui aura violé la disposition de l'art. 14 al. 1 de la présente ordonnance, qui règle l'usage des véhicules auxquels sont attribués des plaques interchangeables sera puni de l'amende.</w:t>
      </w:r>
    </w:p>
    <w:p>
      <w:r>
        <w:rPr>
          <w:b/>
        </w:rPr>
        <w:t>E. 4.2</w:t>
      </w:r>
    </w:p>
    <w:p>
      <w:r>
        <w:t>En l'espèce, l'appelant a admis avoir reproduit sa plaque d'immatriculation sur un carton et l'avoir placé derrière la vitre arrière de son véhicule, précisant non seulement avoir circulé plusieurs jours au volant de son I______ dont seule la plaque avant était véritable mais aussi l'avoir stationnée sur la voie publique. Il a également admis avoir garé son second véhicule devant son garagiste sur la voie publique alors même que le véhicule ne disposait pas de ses deux plaques. Il a ainsi contrefait et utilisé, sur son I______, une fausse plaque en carton manifestement non émise par l'autorité. Ce faisant, par le simple fait que son second véhicule était stationné sur la voie publique, il a utilisé simultanément deux véhicules à plaques interchangeables, alors qu'un seul à la fois peut être mis en circulation, ce par quoi il faut également comprendre le stationnement. Le jugement reconnaissant l'appelant coupable d'infraction à l'art. 97 al. 1 let. e et f LCR ainsi que de contravention à l'art. 60 ch. 2 al. 2 OAV sera confirmé.</w:t>
      </w:r>
    </w:p>
    <w:p>
      <w:r>
        <w:rPr>
          <w:b/>
        </w:rPr>
        <w:t>E. 5</w:t>
      </w:r>
    </w:p>
    <w:p>
      <w:r>
        <w:t>5.1.1. À l'aune de l'art. 2 CP, la réforme du droit des sanctions entrée en vigueur le 1 er janvier 2018 marque un durcissement du droit des sanctions et est ainsi, en principe, moins favorable à la personne condamnée (M. DUPUIS / L. MOREILLON / C. PIGUET / S. BERGER / M. MAZOU / V. RODIGARI [éds], Code pénal - Petit commentaire , 2 e éd., Bâle 2017, Rem. prél. ad art. 34 à 41, n. 6). 5.1.2. En l'occurrence, il sera fait application du droit en vigueur jusqu'au 31 décembre 2017, les infractions reprochées à l'appelant ayant été commises sous l'empire de ce droit, et le nouveau droit des sanctions n'apparaissant pas plus favorable à l'appelant. 5.1.3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5.1.4. Selon l'art. 34 al. 1 aCP, la peine pécuniaire ne peut excéder 360 jours-amende;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5.1.5. Conformément à l'art. 42 al. 1 aCP, le juge suspend en règle générale l'exécution de la peine pécuniaire lorsqu'une peine ferme ne paraît pas nécessaire pour détourner l'auteur d'autres crimes ou délits.</w:t>
      </w:r>
    </w:p>
    <w:p>
      <w:r>
        <w:rPr>
          <w:b/>
        </w:rPr>
        <w:t>E. 5.2</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w:t>
      </w:r>
    </w:p>
    <w:p>
      <w:r>
        <w:rPr>
          <w:b/>
        </w:rPr>
        <w:t>E. 5.3</w:t>
      </w:r>
    </w:p>
    <w:p>
      <w:r>
        <w:t>En l'espèce, la faute de l'appelant n'est pas négligeable. Il n'a pas hésité à respectivement conduire et stationner ses véhicules sur la voie publique alors même que le premier était muni d'une plaque d'immatriculation falsifiée et que le second ne disposait pas de ses deux plaques. Sa prise de conscience est inexistante puisqu'il a persisté à nier jusqu'en appel avoir fabriqué une fausse plaque, alléguant que les numéros étaient corrects et avoir agi comme un " bon citoyen ". Sa situation personnelle sans particularité ne saurait nullement expliquer ses agissements. Dans la mesure où l'appelant est acquitté du chef d'infraction de brigandage, la peine privative de liberté de sept mois prononcée par le premier juge sera annulée et remplacée par une peine pécuniaire de 50 jours-amende, sous déduction de deux jours-amende, correspondant à deux jours de détention avant jugement. Le montant unitaire sera fixé à CHF 40.-, de façon à correspondre à la situation économique de l'appelant. L'appelant sera mis au bénéfice du sursis et le délai d'épreuve sera fixé à deux ans, une peine ferme et un délai d'épreuve plus long ne paraissant pas nécessaires à le détourner de la commission d'autres délits. Cette peine sera déclarée complémentaire à celles prononcées par le MP de Neuchâtel, les faits reprochés étant antérieures à ces deux condamnations ; une peine globale de 200 jours-amende apparaît en effet adéquate pour l'ensemble de ces faits, étant rappelé que la limite de 180 jours-amende prévue à l'art. 34 CP ne s'applique pas en l'espèce puisque les présents faits sont antérieurs au 1 er janvier 2018. L'amende de CHF 200.- apparait proportionnée à la faute de l'appelant et correspond à sa situation financière, de sorte qu'elle sera confirmée. L'appelant ayant été acquitté du chef de brigandage, il ne se justifie plus de prononcer son expulsion, de sorte que le jugement de première instance sera annulé sur ce point.</w:t>
      </w:r>
    </w:p>
    <w:p>
      <w:r>
        <w:rPr>
          <w:b/>
        </w:rPr>
        <w:t>E. 6</w:t>
      </w:r>
    </w:p>
    <w:p>
      <w:r>
        <w:t>6.1.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6.2</w:t>
      </w:r>
    </w:p>
    <w:p>
      <w:r>
        <w:t>En l'espèce, le principe d'une indemnisation du prévenu est acquis ; elle sera ordonnée à hauteur des deux-tiers des frais de défense raisonnables. A cet égard, les honoraires détaillés, déjà réduits par l'avocat, correspondent grosso-modo à 30 heures d'activité d'avocat, ce qui apparaît quelque peu exagéré. En effet, le MP a en tout et pour tout tenu deux audiences, l'une consécutive à l'arrestation du prévenu (25 minutes), la suivante, d'une durée de 2h03, destinée à l'audition des plaignants. Une consultation de dossier au greffe du MP le 25 avril 2018 a duré 1h15. L'audience de première instance a duré 2h15, suspension comprise. Le dossier de la cause comporte un seul petit classeur pour l'instruction, et une fourre pour la procédure de première instance. Le prévenu n'a pas été détenu au-delà de son arrestation provisoire. Compte tenu de ces éléments, l'activité raisonnable de l'avocat doit être arrêtée à 15 heures pour l'ensemble de l'instruction, de la première instance et de l'appel, dont les deux-tiers, soit 10 heures doivent conduire à une indemnisation. Le tarif horaire retenu sera de CHF 325.-, soit celui appliqué aux notes d'honoraires produites. L'indemnisation sera donc arrêtée à CHF 3'500.25, TVA à 7.7 % comprise.</w:t>
      </w:r>
    </w:p>
    <w:p>
      <w:r>
        <w:rPr>
          <w:b/>
        </w:rPr>
        <w:t>E. 6.3</w:t>
      </w:r>
    </w:p>
    <w:p>
      <w:r>
        <w:t>Il n'y a en revanche pas lieu d'allouer au prévenu une indemnité en lien avec son arrestation provisoire des 20 et 21 juin 2017 qui sera déduite de la peine prononcée. * * * * *</w:t>
      </w:r>
    </w:p>
    <w:p>
      <w:r>
        <w:rPr>
          <w:b/>
        </w:rPr>
        <w:t>E. 7</w:t>
      </w:r>
    </w:p>
    <w:p>
      <w:r>
        <w:t>L'appelant, qui obtient gain de cause sur une partie de l'appel mais succombe sur une partie de ses conclusions, supportera le tiers des frais de la procédure envers l'Etat, tant pour la première instance que pour l'appel (art. 426 et art. 428 CPP).</w:t>
      </w:r>
    </w:p>
    <w:p>
      <w:r>
        <w:rPr>
          <w:b/>
        </w:rPr>
        <w:t>E. 8.1</w:t>
      </w:r>
    </w:p>
    <w:p>
      <w:r>
        <w:t>À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La question de l'indemnisation du prévenu (art. 429 CPP) doit être traitée en relation avec celle des frais (art. 426 CPP). Si le prévenu supporte les frais en application de l'art. 426 al. 1 ou 2 CPP, une indemnité est en règle générale exclue (ATF 137 IV 352 consid. 2.4.2 p. 357). Le droit à l'indemnisation est ouvert dès que des charges pesant sur le prévenu ont été abandonnées. L'abandon des charges pesant sur le prévenu peut être total ou partiel. L'indemnité sera due si les infractions abandonnées par le tribunal revêtent, globalement considérées, une certaine importance et que les autorités de poursuite pénale ont ordonné des actes de procédure en relation avec les accusations correspondantes. L'indemnité de l'art. 429 al. 1 let. a CPP doit correspondre au tarif usuel du barreau applicable dans le canton où la procédure se déroule et englober la totalité des coûts de défense (ATF 142 IV 163 consid. 3 p. 166 ss). L'autorité pénale amenée à fixer une indemnité sur le fondement de l'art. 429 al. 1 let. a CPP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À teneur de l'art. 51 CP, le juge impute sur la peine la détention avant jugement subie par l'auteur dans le cadre de l'affaire qui vient d'être jugée ou d'une autre procédure. Un jour de détention correspond à un jour-amende (art. 51 2 ème phr. CP). Il en découle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A fortiori doit-il en aller de même quand la privation de liberté a été subie dans la même procédure que celle dont est issue la condamnation prononcée, mais pour une autre prévention ( ACPR/409/2013 du 29 août 2013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