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P/10239/2020 vom 2. November 2021</w:t>
      </w:r>
    </w:p>
    <w:p>
      <w:r>
        <w:t>GE Cour de justice, 2021-11-02, FR</w:t>
      </w:r>
    </w:p>
    <w:p>
      <w:r>
        <w:rPr>
          <w:b/>
        </w:rPr>
        <w:t xml:space="preserve">Quelle: </w:t>
      </w:r>
      <w:r>
        <w:t>https://mcp.opencaselaw.ch/entscheid/ge_gerichte_P_10239_2020</w:t>
      </w:r>
    </w:p>
    <w:p>
      <w:r>
        <w:t>FR: GE_GERICHTE P/10239/2020 du 2 novembre 2021</w:t>
      </w:r>
    </w:p>
    <w:p>
      <w:r>
        <w:t>IT: GE_GERICHTE P/10239/2020 del 2 novembre 2021</w:t>
      </w:r>
    </w:p>
    <w:p>
      <w:pPr>
        <w:pStyle w:val="Heading2"/>
      </w:pPr>
      <w:r>
        <w:t>Regeste</w:t>
      </w:r>
    </w:p>
    <w:p>
      <w:r>
        <w:t>VIOLENCE CONTRE LES AUTORITÉS | CP.285; CP.52; OSR.67.al1.letb</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Conformément à l'art. 285 ch. 1 CP, est puni celui qui, en usant de violence ou de menace, empêche une autorité, un membre d'une autorité ou un fonctionnaire de faire un acte entrant dans ses fonctions, les contraint à faire un tel acte ou se livre à des voies de fait sur eux pendant qu'ils y procèdent. La menace correspond à celle de l'art. 181 CP, même s'il n'est pas précisé qu'elle doit porter sur un dommage sérieux.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6B_1216/2019 du 28 novembre 2019 consid. 2.1).</w:t>
      </w:r>
    </w:p>
    <w:p>
      <w:r>
        <w:rPr>
          <w:b/>
        </w:rPr>
        <w:t>E. 2.3</w:t>
      </w:r>
    </w:p>
    <w:p>
      <w:r>
        <w:t>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p. 132).</w:t>
      </w:r>
    </w:p>
    <w:p>
      <w:r>
        <w:rPr>
          <w:b/>
        </w:rPr>
        <w:t>E. 2.4</w:t>
      </w:r>
    </w:p>
    <w:p>
      <w:r>
        <w:t>Selon l'art. 110 al. 3 CP, on entend par fonctionnaire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La notion pénale de fonctionnaire est autonome en ce sens qu'elle ne se recoupe pas nécessairement avec celle retenue par le droit public. Elle recouvre tant les fonctionnaires du point de vue organique que les personnes qui revêtent cette qualité du point de vue fonctionnel (ATF 135 IV 198 consid. 3.3 p. 201 s.). Le critère déterminant pour revêtir la qualité de fonctionnaire réside dans la nature officielle de la fonction confiée, à savoir l'accomplissement de tâches de droit public incombant au service public (ATF 141 IV 329 consid. 1.3 p. 331 s. ; arrêts du Tribunal fédéral 6B_580/2016 du 23 octobre 2017 consid. 2.1 et 6B_535/2014 du 5 janvier 2016 consid. 2.2).</w:t>
      </w:r>
    </w:p>
    <w:p>
      <w:r>
        <w:rPr>
          <w:b/>
        </w:rPr>
        <w:t>E. 2.5</w:t>
      </w:r>
    </w:p>
    <w:p>
      <w:r>
        <w:t>L'art. 27 al. 1 LCR impose aux usagers de la route de se conformer aux signes et aux marques. Ceux-ci ne sont obligatoires que s'ils sont clairs et que leur portée est aisément reconnaissable.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non-respect, mettre en danger les autres usagers qui se fient à l'apparence ainsi créée. Il ne peut en aller autrement que dans des cas très exceptionnels où de telles injonctions sont entachées de vices particulièrement manifestes qui les rendent nulles (ATF 128 IV 184 consid. 4.2 et 4.3 p. 186 s. ; arrêts du Tribunal fédéral 6B_464/2015 du 8 février 2016 consid. 2.2 et 6B_112/2011 du 8 juin 2011 consid. 3.3 in JdT 2011 I 314). Conformément à l’art. 67 al. 1 let. b de l’ordonnance sur la signalisation routière (OSR), les usagers de la route sont tenus de se conformer aux signes et instructions donnés par le personnel en uniforme des services du feu et de la protection civile.</w:t>
      </w:r>
    </w:p>
    <w:p>
      <w:r>
        <w:rPr>
          <w:b/>
        </w:rPr>
        <w:t>E. 2.6</w:t>
      </w:r>
    </w:p>
    <w:p>
      <w:r>
        <w:t>En l’espèce, il est établi que le jour des faits la partie plaignante, engagée dans un service de PC lié à la pandémie de COVID-19, tenait un barrage filtrant à l’entrée du village de D______. Contrairement à ce que soutient l’appelant, les deux représentants de la PC auditionnés au cours de la procédure n’ont pas présenté une version radicalement différente de leur mission, puisqu’ils ont tous deux expliqué avoir eu pour tâche de filtrer les véhicules et de limiter l’accès aux riverains. Il importe peu de déterminer si cette tâche leur avait été valablement confiée. En effet, cette mission n’était pas manifestement illégale, notamment dans le contexte de l’époque ; les membres de la PC étaient porteurs de leur uniforme, de sorte que les usagers de la route devaient se soumettre au contrôle mis en place. Par ailleurs, il est également établi que l’appelant s’est soustrait au contrôle, en refusant de justifier de son domicile à D______ et en forçant le passage lorsque le témoin l’a invité à préciser ses déclarations. Le fait qu’il ait été effectivement résident de ce village ne lui permettait nullement de refuser d’en fournir la preuve ou à tout le moins les indications utiles pour permettre aux agents de vérifier ce fait, conformément à leur mission. La question de savoir s’il a décliné son identité n’est ainsi pas pertinente, puisqu’il ressort des déclarations claires et concordantes de la partie plaignante et du témoin qu’il a quitté les lieux du contrôle sans que le personnel de la PC n’ait pu procéder à celui-ci. Il est en revanche établi que ce n’est que grâce à l’identification de son véhicule, par le numéro de plaque photographié par l’un des agents, que la police a pu identifier le conducteur concerné. Enfin, il est établi que non content de se soustraire au contrôle, alors que la partie plaignante tentait de l’empêcher de quitter les lieux afin de mener cette tâche à bien, l’appelant l’a contrainte à s’écarter de son chemin en s’approchant d'elle avec son véhicule au point de la toucher, lui faisant craindre pour sa sécurité, voire son intégrité. Les déclarations du plaignant et du témoin sont là aussi claires et concordantes : tous deux décrivent la manière dont, sur l’injonction de son collègue, et dans le cadre de sa mission, la partie plaignante s’est portée à la rencontre du véhicule de l’appelant, pour l’empêcher légitimement de franchir le barrage filtrant sans avoir justifié son droit à pénétrer dans le village. Ce comportement de la partie plaignante n’était nullement contraire au principe de la confiance, au contraire ; la personne chargée de faire respecter une règle de circulation est habilitée à se placer sur la route au travers d’un véhicule qui est tenu de s’arrêter. Les deux agents décrivent également la manière dont l’appelant a avancé vers la partie plaignante pour la contraindre à le laisser passer. Le témoin a expressément souligné avoir enjoint son collègue de s’écarter du véhicule qui avançait vers lui en faisant mine de forcer le barrage afin de de ne pas se mettre en danger. Par surcroît de motif, la CPAR relève qu’on ne voit d’ailleurs pas pour quelle raison les agents de la PC auraient pris en photo la plaque minéralogique de l’appelant puis dénoncé ses agissements à la police, si le conducteur du véhicule incriminé avait adopté un comportement adéquat et démontré son droit de circuler dans la zone à accès restreint. Cet appel aux forces de l’ordre démontre, si besoin était, que les agents ont considéré avoir eu affaire à un conducteur violant le dispositif qu’ils devaient faire respecter. Ce comportement – diriger intentionnellement un véhicule automobile vers un piéton au point de le contraindre à reculer – est constitutif de contrainte au sens de l’art. 181 CP, la menace contre l’intégrité corporelle étant sérieuse et imminente, et donc d’infraction à l’art. 285 CP. Ce faisant, l’appelant a également commis une infraction à l’art. 90 al. 1 LCR en se soustrayant aux injonctions des agents de la PC. Le verdict de culpabilité du premier juge sera intégralement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Conformément à l'art. 48 CP, le juge atténue la peine si l'auteur a agi en cédant à un mobile honorable (let. a ch. 1), dans un état de détresse profonde (let. a ch. 2) sous l'effet d'une menace grave (let. a ch. 3) ou sous l'ascendant d'une personne à laquelle il devait obéissance ou de laquelle il était dépendant (let. a ch. 4), si l'auteur a été induit en tentation grave par la conduite de la victime (let. b), s’il a agi en proie à une émotion violente que les circonstances rendaient excusable ou s'il a agi dans un état de profond désarroi (let. c), s’il a manifesté par des actes un repentir sincère, notamment s'il a réparé le dommage autant qu'on pouvait l'attendre de lui (let. d) ou si l'intérêt à punir a sensiblement diminué en raison du temps écoulé depuis l'infraction et que l'auteur s'est bien comporté dans l'intervalle (let. e).</w:t>
      </w:r>
    </w:p>
    <w:p>
      <w:r>
        <w:rPr>
          <w:b/>
        </w:rPr>
        <w:t>E. 3.3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w:t>
      </w:r>
    </w:p>
    <w:p>
      <w:r>
        <w:rPr>
          <w:b/>
        </w:rPr>
        <w:t>E. 3.4</w:t>
      </w:r>
    </w:p>
    <w:p>
      <w:r>
        <w:t>L’appelant se prévaut de circonstances atténuantes sans préciser laquelle des circonstances visées à l’art. 48 CP pourrait entrer en ligne de compte. En réalité, aucune des hypothèses visées par cette disposition n’est réalisée. Le mobile de l’appelant n’avait rien d’honorable, et il ne se trouvait pas dans la détresse ou sous l’effet d’une menace. Le comportement de la partie plaignante, qui a agi dans le cadre de sa mission, ne constituait aucunement une tentation, et n’avait pu susciter une émotion violente, l’éventuel agacement ressenti par l’appelant n’entrant manifestement pas dans cette catégorie. Enfin, l’appelant n’a fait montre d’aucun repentir, adoptant au contraire une attitude revendicatrice et condescendante.</w:t>
      </w:r>
    </w:p>
    <w:p>
      <w:r>
        <w:rPr>
          <w:b/>
        </w:rPr>
        <w:t>E. 3.5</w:t>
      </w:r>
    </w:p>
    <w:p>
      <w:r>
        <w:t>Les conditions d’une exemption de peine au sens de l’art. 52 CP ne sont pas plus réunies. La désinvolture de l’appelant, son manque de respect pour l’autorité, ainsi que la dangerosité de son comportement au volant de son véhicule, sont autant d’éléments qui excluent de retenir que l’infraction serait de peu d’importance.</w:t>
      </w:r>
    </w:p>
    <w:p>
      <w:r>
        <w:rPr>
          <w:b/>
        </w:rPr>
        <w:t>E. 3.6</w:t>
      </w:r>
    </w:p>
    <w:p>
      <w:r>
        <w:t>La faute de l’appelant est en effet importante. Il a agi par agacement et de façon impatiente face à ce qu’il a perçu comme un contrôle inutile. Il s’en est pris à des agents qui ne faisaient qu’exécuter la mission qui leur avait été confiée, pour des mobiles qui restent peu compréhensibles, l’appelant n’ayant jamais fourni d’autre explication que le déni, nonobstant les versions concordantes des autres personnes impliquées. Il s’en est pris à l’intégrité de l’un des agents, lui faisant craindre pour sa sécurité, pour faire obstacle à leur mission et se soustraire à un banal contrôle. Un tel mépris et un tel manque d’égard pour les personnes appelées à faire respecter les décisions de l’autorité justifie une sanction sévère. L’appelant ne montre aucun remords ni aucune prise de conscience du caractère inadéquat et dangereux de son comportement. Il ne critique pas la peine prononcée par le premier juge, au-delà de l’acquittement et de l’exemption de peine sollicités. Dans ces circonstances, les sanctions prononcées par le premier juge, soit une peine pécuniaire de 60 jours-amende à CHF 100.-, assortie d’une amende de CHF 1'000.- à titre de sanction immédiate, apparaissent adéquates, voire clémentes pour l’infraction à l’art. 285 CP. Le montant du jour-amende ne sera pas revu à la hausse, quand bien même il semble ressortir du casier-judiciaire de l’appelant, et faute d’autre indication de sa part, que sa capacité financière est largement supérieure à la moyenne. De même, le montant de l’amende pour infraction à l’art. 90 al. 1 LCR, soit le non-respect d’un injonction (art. 27 al. 1 LCR), arrêté à CHF 1'000.- par le premier juge, apparaît adéquat et proportionné. Le jugement entrepris sera donc intégralement confirmé.</w:t>
      </w:r>
    </w:p>
    <w:p>
      <w:r>
        <w:rPr>
          <w:b/>
        </w:rPr>
        <w:t>E. 4</w:t>
      </w:r>
    </w:p>
    <w:p>
      <w:r>
        <w:t>L'appelant, qui succombe, supportera les frais de la procédure envers l'État (art. 428 CPP).</w:t>
      </w:r>
    </w:p>
    <w:p>
      <w:r>
        <w:rPr>
          <w:b/>
        </w:rPr>
        <w:t>E. 5</w:t>
      </w:r>
    </w:p>
    <w:p>
      <w:r>
        <w:t>Par identité de motifs, il n'y a pas lieu à indemnité au sens de l'art.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