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P/10208/2018 vom 28. Mai 2025</w:t>
      </w:r>
    </w:p>
    <w:p>
      <w:r>
        <w:t>GE Cour de justice, 2025-05-28, FR</w:t>
      </w:r>
    </w:p>
    <w:p>
      <w:r>
        <w:rPr>
          <w:b/>
        </w:rPr>
        <w:t xml:space="preserve">Quelle: </w:t>
      </w:r>
      <w:r>
        <w:t>https://mcp.opencaselaw.ch/entscheid/ge_gerichte_P_10208_2018</w:t>
      </w:r>
    </w:p>
    <w:p>
      <w:r>
        <w:t>FR: GE_GERICHTE P/10208/2018 du 28 mai 2025</w:t>
      </w:r>
    </w:p>
    <w:p>
      <w:r>
        <w:t>IT: GE_GERICHTE P/10208/2018 del 28 maggio 2025</w:t>
      </w:r>
    </w:p>
    <w:p>
      <w:pPr>
        <w:pStyle w:val="Heading2"/>
      </w:pPr>
      <w:r>
        <w:t>Regeste</w:t>
      </w:r>
    </w:p>
    <w:p>
      <w:r>
        <w:t>DÉTENTION PROVISOIRE;RISQUE DE COLLUSION;RISQUE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gravité et la suffisance des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il est établi que le recourant a été interpellé par la police le 28 février 2025, dans la rue, alors qu'il détenait sur lui, sans droit, une arme à feu de type pistolet, munitionnée et chargée, ainsi qu'un poing américain, étant précisé qu'à son domicile, la police a découvert un pistolet à air comprimé pouvant être confondu avec une vraie arme à feu ainsi qu'un silencieux, un dispositif de visée et des munitions de plomb. À son domicile, la police a également découvert une plantation de cannabis et du matériel de production. Les charges apparaissent ainsi, à ce stade de l'instruction, suffisantes et graves. Que le recourant justifie la possession de ces armes et le port d'une arme chargée sur la voie publique par la nécessité de se défendre n'enlève rien à la gravité des faits – eu égard à la dangerosité évidente du comportement et à l'appétence manifeste de l'intéressé pour les armes interdites, ce d'autant que ses explications à cet égard sont particulièrement évasives. Qu'il nie ensuite s'adonner à un trafic de stupéfiants faute de matériel de conditionnement saisi, arguant que la plantation de cannabis découverte chez lui était destinée à sa seule consommation, n'est pas non plus déterminant à ce stade, eu égard aux constatations policières. Le TMC avait du reste déjà estimé dans son ordonnance de mise en détention provisoire du 2 mars 2025, contre laquelle le prévenu n'avait pas recouru, que les charges susvisées étaient suffisantes. Que l'intéressé ait eu un autre avocat à cette occasion et n'ait pas contesté cette appréciation n'y change donc rien. Enfin, contrairement à ce qu'allègue le recourant, sa détention provisoire repose sur ces nouvelles charges exclusivement.</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l'occurrence, le recourant n'a notamment pas souhaité fournir d'explications sur la manière dont il avait acquis, sans autorisation, l'arme à feu chargée dont il était porteur au moment de son interpellation, ni voulu donner l'identité de l'individu qui lui avait remis l'arme à air comprimé, le silencieux et le dispositif de visée retrouvés à son domicile. Il existe dès lors en l'état un risque de collusion concret avec le ou les fournisseurs des armes en question, dont lui seul connaît l'identité. Si la saisie de son téléphone portable a effectivement permis de sécuriser d'éventuels éléments de preuve, sous l'angle tant des infractions à la LArm que celles à la LStup, l'analyse de cet appareil, en cours, pourrait révéler en particulier l'identité des tiers impliqués (fournisseur(s) des armes et des munitions ainsi qu'éventuels acheteurs de stupéfiants, en particulier) que seul le prévenu connaît. En cas de libération, il pourrait ainsi prendre contact avec eux et entraver la manifestation de la vérité. Partant, c'est à juste titre que le TMC a retenu un risque de collusion. Celui-ci ne saurait être pallié par une interdiction de contact avec quiconque, en particulier avec d'éventuels acheteurs ou le(s) fournisseur(s) des armes et des munitions, proposée, une telle mesure, qui reposerait sur la seule volonté du recourant, étant invérifiable et donc insuffisante.</w:t>
      </w:r>
    </w:p>
    <w:p>
      <w:r>
        <w:rPr>
          <w:b/>
        </w:rPr>
        <w:t>E. 4</w:t>
      </w:r>
    </w:p>
    <w:p>
      <w:r>
        <w:t>Le recourant conteste le risque de récidive.</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Lors de l'évaluation de la gravité de l'acte, il convient de prendre en compte non seulement la menace abstraite de la peine prévue par la loi, mais aussi le bien juridique concerné et le contexte, en particulier la dangerosité émanant concrètement du prévenu ou du potentiel de violence existant chez lui et pouvant résulter des circonstances de la commission de l'infraction. Cette dangerosité peut être appréciée sur la base des infractions antérieures, mais aussi des nouveaux actes qui lui sont reprochés, pour autant qu'il soit établi avec une vraisemblance suffisante qu'il les a commis (ATF 143 IV 9 consid. 2.6 et les références citées).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 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En l'espèce, le recourant a déjà été condamné en particulier à deux reprises pour infractions à l'art. 33 LArm, en 2013, et à trois reprises pour lésions corporelles simples, en 2014, 2016 et 2018. En sus des infractions reprochées constatées le 28 février 2025 – notamment la détention et le port sur la voie publique d'un pistolet chargé et d'un poing américain –, il est soupçonné, dans la présente procédure, d'avoir commis plusieurs agressions et lésions corporelles simples en 2018 ainsi qu'avoir proféré des menaces de mort en mimant le geste de tirer une balle dans la tête de ses victimes, en 2023 et 2024. À cela s'ajoute ses propos peu rassurants à l'audience du 1 er mars 2025, selon lesquels il "se foutait" des autres, avait "le droit" de déambuler dans la rue avec une arme à feu chargée, était en colère et allait "se battre jusqu'à la mort" . L'ensemble de ces circonstances, ajouté au désœuvrement apparent du recourant, qui est sans emploi, laisse craindre une dangerosité et un potentiel de violence concret chez lui, apte à fonder à tout le moins un risque de récidive simple au sens de l'art. 221 al. 1 let. c CPP. Aucune mesure de substitution n'entre en ligne de compte en l'état. Il y a lieu d'attendre le résultat de l'expertise psychiatrique ordonnée par le Ministère public qui, seule, permettra d'évaluer le risque de récidive et, le cas échéant, énoncer les mesures aptes à le pallier.</w:t>
      </w:r>
    </w:p>
    <w:p>
      <w:r>
        <w:rPr>
          <w:b/>
        </w:rPr>
        <w:t>E. 5</w:t>
      </w:r>
    </w:p>
    <w:p>
      <w:r>
        <w:t>Au vu des infractions dont le recourant est prévenu, si elles devaient être confirmées, la prolongation de la détention provisoire ne viole pas le principe de la proportionnalité, étant rappelé que la seule peine menace maximale de l'art. 33 LArm est une peine privative de liberté de trois ans au plus.</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