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P/10189/2010 vom 15. Mai 2014</w:t>
      </w:r>
    </w:p>
    <w:p>
      <w:r>
        <w:t>GE Cour de justice, 2014-05-15, FR</w:t>
      </w:r>
    </w:p>
    <w:p>
      <w:r>
        <w:rPr>
          <w:b/>
        </w:rPr>
        <w:t xml:space="preserve">Quelle: </w:t>
      </w:r>
      <w:r>
        <w:t>https://mcp.opencaselaw.ch/entscheid/ge_gerichte_P_10189_2010</w:t>
      </w:r>
    </w:p>
    <w:p>
      <w:r>
        <w:t>FR: GE_GERICHTE P/10189/2010 du 15 mai 2014</w:t>
      </w:r>
    </w:p>
    <w:p>
      <w:r>
        <w:t>IT: GE_GERICHTE P/10189/2010 del 15 maggio 2014</w:t>
      </w:r>
    </w:p>
    <w:p>
      <w:pPr>
        <w:pStyle w:val="Heading2"/>
      </w:pPr>
      <w:r>
        <w:t>Regeste</w:t>
      </w:r>
    </w:p>
    <w:p>
      <w:r>
        <w:t>AGRESSION ; FIXATION DE LA PEINE | CP.134; CP.47</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conseil de l’appelant s’est opposé à ce que le conseil de C______ puisse plaider sur le fond de la cause, mais cet incident a été rejeté. En effet, même en l’absence de l’appel joint, l’admission de l’appel d’X______ pourrait péjorer la situation de ses co-prévenus, ne serait-ce qu’en relation avec les indemnités pour le tort moral dues aux plaignants, la « perte » d’un débiteur solidaire augmentant le montant dû par chacun d’entre eux dans leurs rapports internes.</w:t>
      </w:r>
    </w:p>
    <w:p>
      <w:r>
        <w:rPr>
          <w:b/>
        </w:rPr>
        <w:t>E. 3</w:t>
      </w:r>
    </w:p>
    <w:p>
      <w:r>
        <w:t>L’appelant conteste sa condamnation pour agression, soutenant n’y avoir pas pris part mais s’être contenté de séparer D______ de ses agresseurs, afin de le protéger. Il n’avait cherché, selon lui, qu’à maîtriser ceux qu’ils considéraient comme les assaillants, les ayant tout au plus bousculés. 3.1.1.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(arrêt du Tribunal fédéral 6B_405/2012 du 7 janvier 2013 consid. 2.1.1). Pour que les éléments constitutifs de l’agression soient réunis, il faut qu’une ou plusieurs des personnes agressées soient blessées ou tuées. Il s’agit d’une condition objective de punissabilité (ATF 135 IV 152 consid. 2.1.1 p. 153 ; arrêt du Tribunal fédéral 6B_619/2013 du 2 septembre 2013 consid. 2.1). La mort ou la lésion corporelle doivent résulter de l’agression ou des événements qui l’ont suivi immédiatement (ATF 106 IV 246 consid. 3f p. 253 ; arrêt du Tribunal fédéral 6B_658/2008 du 6 février 2009 consid. 3.1). Comme dans le cas de la rixe (art. 133 CP), l’infraction est exclue si le rapport de causalité n’est pas suffisamment étroit. S’il est exigé de l’auteur qu’il participe intentionnellement à l’agression, il n’est toutefois pas nécessaire qu’il veuille ou accepte qu’une personne soit tuée ou blessée (arrêt du Tribunal fédéral 6B_373/2011 du 14 novembre 2011 consid. 3.2). L’agression étant une infraction de mise en danger abstraite, la participation de l’auteur à une agression suffit pour qu’il soit punissable, sans égard à sa responsabilité s’agissant de la lésion survenue (ATF 118 IV 227 consid. 5b p. 229 ; ATF 135 IV 152 consid. 2.1.1 p. 153s). 3.1.2. Dans le cadre de l'infraction d'agression, toute personne qui se joint aux agresseurs, quel que soit le rôle qu'elle assume concrètement, réalise le comportement typique (M. DUPUIS / B. GELLER / G. MONNIER / L. MOREILLON / C. PIGUET / C. BETTEX / D. STOLL (éds), Code pénal - Petit commentaire , Bâle 2012, n. 4 ad art. 134). Savoir si la participation peut être purement verbale est une question controversée. La doctrine dominante admet que, lorsqu'au moins deux personnes attaquent déjà physiquement la victime, la participation à l'agression peut aussi être psychologique ou verbale, soit par exemple être réalisée par le biais d'encouragements ou de remises d'armes (S. TRECHSEL, Schweizerisches Strafgesetzbuch : Praxiskommentar , Zurich/Saint-Gall 2008, ad art. 134 n. 2 ; M. NIGGLI / H. WIPRÄCHTIGER, Basler Kommentar Strafrecht II : Art. 111-392 StGB , 2 e éd., Bâle 2007, n. 7 ad art. 134). Certains auteurs, en revanche, soutiennent que celui qui ne fait qu'exciter ou encourager les protagonistes est plutôt un participant accessoire, soit un instigateur ou un complice, l'agression se caractérisant comme un assaut physique (B. CORBOZ, Les infractions en droit suisse , vol. I, 3 e éd., Berne 2010, n° 8 ad art. 134 CP). Toutefois, le fait que la personne ne participe pas elle-même à l'exécution proprement dite n'exclut pas qu'elle puisse être considérée comme coauteur, si elle en remplit les conditions (arrêt du Tribunal fédéral 6B_989/2009 du 22 mars 2010 consid. 3.1.2 ; B. CORBOZ, op cit , ad art. 134 n° 8). 3.1.3. Dans le cadre de la rixe (133 al. 1 CP), lorsque une personne, par son comportement, s'est bornée à défendre sa personne ou autrui ou à séparer les combattants, celle-ci peut bénéficier de l'impunité prévue par l'art. 133 al. 2 CP. Cette interprétation est conforme à la jurisprudence (ATF 106 IV 246 consid. 3e), à la volonté du législateur et à l'avis de la doctrine (cf. supra consid. 3.1.1). 3.1.4. Pour que l’autorité de jugement puisse forger sa conviction quant aux faits sur la base d'un ensemble d'éléments ou d'indices convergents, il ne suffit pas que l'un ou l'autre de ceux-ci ou même chacun d'eux pris isolément soit à lui seul insuffisant. L'appréciation des preuves doit être examinée dans son ensemble. 3.2.1. En l'espèce, il est établi que les parties plaignantes ont subi les lésions corporelles décrites dans l’acte d’accusation, suite à l’agression survenue le 20 juin 2010, dont plusieurs ont nécessité la pose de points de suture. 3.2.2. D______ et C______ ont admis avoir participé à l’agression précitée en donnant des coups à leurs victimes. C______ a également reconnu avoir frappé celles-ci au moyen d’une barre de fer. Ils n’ont d’ailleurs pas formé appel contre le jugement du Tribunal de police reconnaissant leur culpabilité. 3.2.3. S’agissant d’X______, il ressort du dossier, notamment des déclarations de divers témoins et des plaignants, que, le 20 juin 2010, il est intervenu dans une agression commise aux dépens d’A______ et de B______. En effet, même si les témoins ont parfois fait état d’une bagarre, ceux-ci ont bien mentionné que les plaignants avaient été agressés tout d’abord par D______, puis également par C______ qui a notamment fait usage d’une barre de fer. En outre, plusieurs d’entre eux ont déclaré qu’une troisième personne avait participé à l’altercation aux côtés de ces derniers, sans toutefois être en mesure d’indiquer les agissements exacts de celle-ci, comme cela ressort en particulier des témoignages de I______, L______ et M______, d’autres témoins ayant déclaré qu’il y avait deux agresseurs mais que d’autres personnes s’étaient mêlées à la bagarre. Certains témoins semblent avoir parfois confondu l’un ou l’autre prévenu, mais cela s’explique par la confusion qui régnait, la rapidité et la violence de l’agression mais aussi par le fait que les prévenus ont tous les trois un grand gabarit, des cheveux courts et portaient pour l’essentiel des habits sombres. Cela étant, la description faite par le témoin L______ des deux hommes sortis de la voiture grise pour se mettre du côté d’D______ correspond bien à celle d’X______ et de C______. Par ailleurs, les affirmations d’X______ selon lesquelles il n’a fait que séparer les protagonistes sans frapper sont mises à mal par les déclarations des deux victimes qui sont plus cohérentes et précises quant aux événements. En effet, ces dernières ont invariablement exposé avoir chacune reçu des coups de la part d’X______, alors qu’elles n’avaient aucune raison de l’accuser d’actes qu’il n’aurait pas commis. Comme relevé dans le jugement de première instance, les déclarations faites par X______ au cours de la procédure comportent des variations. Il a d’abord expliqué à la police qu’en arrivant devant le bar T______, D______ et C______ étaient déjà en train de se battre. Il a ensuite indiqué qu’il avait rencontré ses amis avant la bagarre et qu’il s’était rendu avec C______ dans un « kebab » à proximité du bar précité, puis qu’ils avaient rejoint D______, lequel se battait avec des inconnus. X______ a finalement soutenu que, arrivés devant le « kebab », C______ lui avait faussé compagnie et qu’il était arrivé seul sur les lieux de la bagarre. Il faut aussi relever que les dépositions d’X______ et de C______ ne sont guère compatibles entre elles, lorsqu’ils prétendent tous deux avoir saisi la barre de fer des mains de l'un des plaignants pour éviter qu’il l’utilise contre D______, d’autant que personne d’autre n’a vu un des plaignants en possession de cet objet. En outre, contrairement à ce qu’ont expliqué ses co-prévenus, D______ n’a jamais soutenu avoir été en difficulté durant l’altercation. Devant le juge d’instruction, D______ avait d’ailleurs admis n’avoir subi aucune blessure, ajoutant que les plaignants devaient remercier ceux qui l’avaient sprayé avec une bombe lacrymogène, sous-entendant que cela aurait pu être bien pire pour eux si tel n’avait pas été le cas. Au vu des dires de ce dernier et des autres éléments du dossier, l’intervention de C______ et d’X______ n’était clairement pas justifiée. S’agissant de la provenance de la barre de fer, les propos d’X______ sont très troublants. Il est en effet invraisemblable qu’il soit retourné sur les lieux de l’agression quelques heures plus tard pour reprendre sa voiture, dans la mesure où il a lui-même expliqué s’être rendu chez son ami F______ pour se changer, puis être allé directement au stade de football, avant d’être emmené à la fourrière par G______ pour récupérer son véhicule. C’est donc nécessairement au moment des faits qu’il a pu déterminer l’endroit d’où provenait cet objet. De plus, même s’il s’est rétracté par la suite, D______ a tout d’abord déclaré qu’X______ avait remis la barre de fer à quelqu’un d’autre, qui ne pouvait ainsi qu’être C______. Enfin, sur les photos, X______ se trouve du côté droit de la terrasse de l’établissement T______, devant l’entrée du garage, soit à proximité du panneau d’où provient précisément ladite barre de fer, comme il l’a lui-même indiqué. Or, selon H______, témoin de l’agression, la remise de cet objet a été faite depuis cet endroit précis. X______ a par ailleurs admis n’avoir quitté les lieux que pour éviter d’être sprayé, ce qui correspond au moment de la fin de l’agression et qui tend aussi à démontrer qu’il s’en prenait alors physiquement aux plaignants. Il est ainsi resté pratiquement jusqu’à l’arrivée de la police et ne peut de ce fait prétendre que les plaignants n’ont pas été victimes d’une agression ou qu’il ne s’en serait tout simplement pas rendu compte. Les circonstances post altercation et les raisons pour lesquelles X______ a abandonné sa voiture sur les lieux et s’est rendu chez l'un de ses amis afin de se changer, alors qu’il habite à proximité, demeurent également peu claires. S’il n’avait fait qu’essayer de séparer les protagonistes sans donner de coups, comme il l’affirme, il aurait logiquement dû attendre l’arrivée de la police et leur expliquer le déroulement des faits, avant de reprendre son véhicule qui était garé à proximité et rentrer chez lui. Dès lors, la conduite adoptée par l’appelant n’était pas celle de quelqu’un qui n’a rien à se reprocher. A cela s’ajoute son refus de répondre aux diverses questions pourtant légitimes de son ami F______ et les propos tenus à G______, l’impliquant dans la « bagarre ». 3.2.4. Bien que l’on ne puisse pas clairement établir les circonstances dans lesquelles la remise de la barre de fer à C______ a été effectuée, il n’en demeure pas moins que la participation d’X______ à cette remise semble probable, au vu de sa position durant une partie de l’agression, soit près de l’endroit d’où provient cette barre, comme l’attestent différentes photos, le témoignage d’H______ et ses propres déclarations. 3.2.5. En tout état de cause, l’ensemble des éléments du dossier permettent de retenir qu’X______ a participé physiquement à l’agression. Il ne s’est pas contenté d’intervenir dans une logique purement défensive ou de séparation des protagonistes. Sa participation n’était pas accessoire et son comportement, lors des faits en cause, doit, à tout le moins, être qualifié d’assaut physique à l’encontre des victimes qui n’avaient pas les moyens de se défendre et qui n’ont fait qu’essayer de se protéger. Les éléments constitutifs de l’infraction à l’art. 134 CP sont ainsi réalisés. 3.2.6. Au regard de ce qui précède, le jugement entrepris sera confirmé en tant qu’il reconnaît l’appelant X______ coupable d’agression (art. 134 CP).</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rPr>
          <w:b/>
        </w:rPr>
        <w:t>E. 4.2</w:t>
      </w:r>
    </w:p>
    <w:p>
      <w:r>
        <w:t>En l'espèce, la faute de l'appelant est grave. Il a participé à une agression ayant entraîné des lésions corporelles très sérieuses pour les victimes, notamment en les brutalisant et en leur donnant des coups. Comme l’a également relevé l’autorité inférieure, il faut reconnaître que son implication a été moindre par rapport à celle d’D______ et C______. Il ne ressort toutefois pas des témoignages qu’il aurait tenté de protéger ou du moins d’empêcher D______ et C______ de frapper les victimes qui n’étaient visiblement pas en mesure de faire face à leurs agresseurs et qui n’ont fait que se protéger du mieux qu’elles pouvaient. Il ne s’est pas non plus préoccupé de leur état de santé, bien que celles-ci gisaient au sol et saignaient abondamment, préférant prendre la fuite. En agissant de la sorte, il a fait preuve d’une absence de compassion et de lâcheté. A sa décharge, il n'a pas d'antécédent significatif. Au regard de l’ensemble de ces éléments, la peine prononcée par les premiers juges, soit une peine pécuniaire de 270 jours-amende à CHF 30.- le jour-amende, assortie du sursis avec un délai d’épreuve de 3 ans, est adéquate et a été fixée en tenant compte des critères pertinents. Le jugement entrepris sera dès lors confirmé sur ce point également.</w:t>
      </w:r>
    </w:p>
    <w:p>
      <w:r>
        <w:rPr>
          <w:b/>
        </w:rPr>
        <w:t>E. 5</w:t>
      </w:r>
    </w:p>
    <w:p>
      <w:r>
        <w:t>Au vu de ce qui précède, il n’y a pas lieu d’entrer en matière sur les conclusions en indemnisations présentées par X______ en application de l'art. 429 CPP.</w:t>
      </w:r>
    </w:p>
    <w:p>
      <w:r>
        <w:rPr>
          <w:b/>
        </w:rPr>
        <w:t>E. 6</w:t>
      </w:r>
    </w:p>
    <w:p>
      <w:r>
        <w:t>6.1. S’agissant de la procédure d’appel, les appelants joints ont fait état d’un montant de CHF 3'672.- correspondant à 8,5 heures d’activité de leur conseil au tarif de CHF 400.-, lequel apparaît justifié. L’appelant sera ainsi condamné à leur verser ledit montant.</w:t>
      </w:r>
    </w:p>
    <w:p>
      <w:r>
        <w:rPr>
          <w:b/>
        </w:rPr>
        <w:t>E. 6.2</w:t>
      </w:r>
    </w:p>
    <w:p>
      <w:r>
        <w:t>Quant à C______, il a sollicité un montant de CHF 1'570,32 correspondant à 4,91 heures d’activité de son conseil au même tarif, lequel semble aussi adéquat. L’appelant sera ainsi également condamné à lui verser ce montant.</w:t>
      </w:r>
    </w:p>
    <w:p>
      <w:r>
        <w:rPr>
          <w:b/>
        </w:rPr>
        <w:t>E. 7</w:t>
      </w:r>
    </w:p>
    <w:p>
      <w:r>
        <w:t>L’appelant, qui succombe, sera condamné aux frais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