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P/10178/2018 vom 22. Juni 2018</w:t>
      </w:r>
    </w:p>
    <w:p>
      <w:r>
        <w:t>GE Cour de justice, 2018-06-22, FR</w:t>
      </w:r>
    </w:p>
    <w:p>
      <w:r>
        <w:rPr>
          <w:b/>
        </w:rPr>
        <w:t xml:space="preserve">Quelle: </w:t>
      </w:r>
      <w:r>
        <w:t>https://mcp.opencaselaw.ch/entscheid/ge_gerichte_P_10178_2018</w:t>
      </w:r>
    </w:p>
    <w:p>
      <w:r>
        <w:t>FR: GE_GERICHTE P/10178/2018 du 22 juin 2018</w:t>
      </w:r>
    </w:p>
    <w:p>
      <w:r>
        <w:t>IT: GE_GERICHTE P/10178/2018 del 22 giugno 2018</w:t>
      </w:r>
    </w:p>
    <w:p>
      <w:pPr>
        <w:pStyle w:val="Heading2"/>
      </w:pPr>
      <w:r>
        <w:t>Regeste</w:t>
      </w:r>
    </w:p>
    <w:p>
      <w:r>
        <w:t>EXCUSABILITÉ ; SOUPÇON | CP.14; CPP.316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4</w:t>
      </w:r>
    </w:p>
    <w:p>
      <w:r>
        <w:t>Le recourant estime que les propos tenus par B______ à l'audience du Tribunal de police du 4 mai 2018 étaient attentatoires à son honneur et ne pouvaient être justifiés par application de l'art. 14 CP.![endif]&gt;![if&gt;</w:t>
      </w:r>
    </w:p>
    <w:p>
      <w:r>
        <w:rPr>
          <w:b/>
        </w:rPr>
        <w:t>E. 4.1</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132 IV 112 consid. 2.1; 128 IV 53 consid. 1a). ![endif]&gt;![if&gt;</w:t>
      </w:r>
    </w:p>
    <w:p>
      <w:r>
        <w:rPr>
          <w:b/>
        </w:rPr>
        <w:t>E. 4.2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2 CP prévoit que l'auteur n'encourra aucune peine s'il prouve que les allégations qu'il a articulées ou propagées sont conformes à la vérité ou qu'il avait des raisons sérieuses de les tenir de bonne foi pour vraies. L'admission à la preuve libératoire constitue la règle. Elle ne peut être refusée que si deux conditions sont réunies cumulativement : l'auteur a agi principalement dans le but de dire du mal d'autrui et il s'est exprimé sans motif suffisant.![endif]&gt;![if&gt;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4.3</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ss).![endif]&gt;![if&gt;</w:t>
      </w:r>
    </w:p>
    <w:p>
      <w:r>
        <w:rPr>
          <w:b/>
        </w:rPr>
        <w:t>E. 4.4</w:t>
      </w:r>
    </w:p>
    <w:p>
      <w:r>
        <w:t>En l'espèce, comme le montre clairement le procès-verbal d'audience, B______ a été interrogé sur ses prétentions civiles en tort moral.![endif]&gt;![if&gt; La réparation du tort moral par la voie de l'action civile, au sens de l'art. 122 CPP, se fonde sur les règles du droit civil (arrêt du Tribunal fédéral 1B_119/2011 du 20 avril 2011 consid. 1.2.2), soit, en l'espèce, sur l'art. 49 al. 1 CO. Cette disposition prévoit la réparation du tort moral en faveur de celui qui subit une atteinte illicite à sa personnalité, pour autant que la gravité de l'atteinte le justifie et que l'auteur ne lui ait pas donné satisfaction autrement. L'allocation d'une telle indemnité suppose que l'atteinte ait une certaine gravité objective et qu'elle ait été ressentie subjectivement par la victime comme une souffrance morale suffisamment forte pour qu'il apparaisse légitime qu'une personne, dans ces circonstances, s'adresse au juge pour obtenir réparation (cf. ATF 131 III 26 consid. 12.1 p. 29; arrêts du Tribunal fédéral 1B_312/2011 du 21 juin 2011 et 1B_119/2011 , précité, consid. 1.2.3 et les arrêts cités). Il incombe à celle-ci de faire état des circonstances qui font qu'elle a ressenti l'atteinte comme étant subjectivement grave (ATF 120 II 97 consid. 2b p. 90). La gravité objective de l'atteinte doit être ressentie par elle comme une souffrance morale (ATF 128 IV 53 consid. 7a p. 71). À la lumière de ces principes, il était nécessaire que la partie plaignante s'exprimât sur la souffrance morale dont elle réclamait réparation. En expliquant avoir conçu plus de rancune à l'égard du recourant qu'à l'égard du coaccusé, elle justifiait ce qui, à ses yeux, fondait la différence des montants qu'elle leur réclamait. Si rancune et souffrance ne sauraient être confondues, la partie plaignante a cependant exposé avoir subi, de la part du recourant, " ignoble à [s] on égard pendant bien des années ", une persécution " lente et pérenne " sur une longue période, n'ayant pas épargné sa conjointe et conduite depuis les locaux professionnels du recourant, dont elle a stigmatisé la rhétorique " déshonnête " et les " saletés " dites dans son dos ou diffusées " à tout vent ". On ne voit pas en quoi ces termes, aussi incisifs soient-ils, s'écartaient du devoir de répondre aux questions posées et d'étayer la souffrance dont la réparation était demandée. Certes, le terme d'ignoble, spécialement fustigé par le recourant, qualifie une personne sans noblesse et sans distinction (Littré) ou qui est capable des actions les plus viles, les plus dégradantes, et inspire du dégoût, de la répulsion (Larousse). Si l'on garde à l'esprit que, selon l'acte d'accusation, le recourant devait répondre lui-même de calomnie envers la partie plaignante, un confrère, pour l'avoir dénoncée dans une lettre au Conseil d'État, trois jours après avoir accédé à la présidence de D______, ainsi que dans un mémoire judiciaire, la partie plaignante devait pouvoir exprimer la façon dont elle voyait dans ces événements la marque d'une atteinte subjectivement grave à son égard – et l'ait synthétisée par l'emploi de l'épithète contestée, pour en convaincre le Tribunal de police –. À bien le suivre, le recourant semble s'en prendre moins à cette partie de la déposition incriminée qu'à la narration par la partie plaignante des circonstances dans lesquelles elle reçut notification du commandement de payer, acte de poursuite fondant l'accusation de tentative de contrainte portée contre les deux accusés. Or, la question n'est pas de savoir si la notification participait, en tant que telle, de la souffrance morale de la partie plaignante – qui ne l'a jamais prétendu –. En revanche, mettre en évidence, comme l'a fait cette dernière, la façon dont sa conjointe avait été émue par l'événement, survenu à domicile, reste, là encore, dans les limites des allégations nécessaires et pertinentes pour étayer sa propre souffrance de l'avoir vue ainsi. Le recourant semble se plaindre que le Ministère public (et non le Tribunal de police) aurait refusé de le mettre au bénéfice de l'art. 14 CP sur ce point de l'accusation dirigée contre lui. Cette critique est sans pertinence pour l'issue de la présente cause. Quoi qu'il en soit, on ne discerne pas comment cette disposition légale eût pu lui être d'un quelconque secours, puisqu'il n'a eu de cesse de s'affirmer étranger à l'initiative du commandement de payer et que la "nécessité" éventuelle d'interrompre la prescription par ce moyen renverrait tout au plus à l'art. 17 CP. Comme le notait déjà la Chambre de céans dans la présente affaire (ACPR/6______/2015 du ______ 2015 consid. 2.6.3.), il n'y a rien d'insolite à ce qu'une autorité pénale tenue de poursuivre toute infraction pour laquelle elle dispose d'indices (art. 7 al. 1 CPP) se penche sur une qualification possible, que la partie plaignante n'envisageait pas spontanément, des faits portés à sa connaissance, en l'occurrence la tentative de contrainte précitée. Dès lors, un lésé peut légitimement participer comme demandeur au civil (art. 118 al. 1 CPP) à une poursuite pénale ouverte d'office sur ce point, puis prendre des conclusions civiles devant l'autorité de jugement (art. 122 al. 1 CPP), à l'instar de ce qu'a fait la partie plaignante, en l'espèce. Pour le surplus, le contenu des réquisitions du Ministère public à l'audience, et notamment l'interdiction professionnelle (art. 67 al. 1 CP) qui aurait été demandée à l'encontre le recourant, n'a constitué ni l'objet de la décision attaquée ni de la déposition incriminée.</w:t>
      </w:r>
    </w:p>
    <w:p>
      <w:r>
        <w:rPr>
          <w:b/>
        </w:rPr>
        <w:t>E. 5</w:t>
      </w:r>
    </w:p>
    <w:p>
      <w:r>
        <w:t>Le recours s'avère, ainsi, infondé.![endif]&gt;![if&gt;</w:t>
      </w:r>
    </w:p>
    <w:p>
      <w:r>
        <w:rPr>
          <w:b/>
        </w:rPr>
        <w:t>E. 6</w:t>
      </w:r>
    </w:p>
    <w:p>
      <w:r>
        <w:t>Le recourant, qui succombe dans toutes ses conclusions, supportera les frais envers l'État, qui seront fixés en totalité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