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P/10150/2016 vom 19. Oktober 2018</w:t>
      </w:r>
    </w:p>
    <w:p>
      <w:r>
        <w:t>GE Cour de justice, 2018-10-19, FR</w:t>
      </w:r>
    </w:p>
    <w:p>
      <w:r>
        <w:rPr>
          <w:b/>
        </w:rPr>
        <w:t xml:space="preserve">Quelle: </w:t>
      </w:r>
      <w:r>
        <w:t>https://mcp.opencaselaw.ch/entscheid/ge_gerichte_P_10150_2016</w:t>
      </w:r>
    </w:p>
    <w:p>
      <w:r>
        <w:t>FR: GE_GERICHTE P/10150/2016 du 19 octobre 2018</w:t>
      </w:r>
    </w:p>
    <w:p>
      <w:r>
        <w:t>IT: GE_GERICHTE P/10150/2016 del 19 ottobre 2018</w:t>
      </w:r>
    </w:p>
    <w:p>
      <w:pPr>
        <w:pStyle w:val="Heading2"/>
      </w:pPr>
      <w:r>
        <w:t>Regeste</w:t>
      </w:r>
    </w:p>
    <w:p>
      <w:r>
        <w:t>INJURE ; PREUVE LIBÉRATOIRE ; PRINCIPE DE LA BONNE FOI | CP.177.al1; CP.173.ch2; CPP.429.al1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2016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ATF 124 IV 86 consid. 2a). 2.2.1.1. 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à coutume de le faire selon les conceptions généralement reçues. Il faut donc que l'atteinte fasse apparaître la personne visée comme méprisable, qu'il s'agisse d'un être humain ou d'une entité juridique (ATF 114 IV 14 consid. 2a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et les arrêts cités).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et les références citées). Du point de vue subjectif, il suffit que l'auteur ait eu conscience du caractère attentatoire à l'honneur de ses propos et qu'il les ait proférés néanmoins. Il n'est pas nécessaire qu'il ait eu la volonté de blesser la personne visée (ATF 119 IV 44 consid. 2a ; 117 IV 270 consid. 2b). 2.2.1.2. 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(arrêt du Tribunal fédéral 6B_512/2017 du 12 février 2018, consid. 3.4.1. ; ATF 93 IV 20 consid. 3 ; plus récemment : arrêt 6B_318/2016 du 13 octobre 2016 consid. 3.8.3). 2.2.2.1. Dans un arrêt récent, le Tribunal fédéral a retenu, s'agissant de l'art. 173 ch. 2 CP, que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(arrêt du Tribunal fédéral 6B_512/2017 du 12 février 2018, consid. 3.4.1. et ATF 124 IV 149 consid. 3b). 2.2.2.2.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2.2.2.3. Le juge refusera la preuve libératoire lorsque l'auteur s'est exprimé sans motif suffisant et a agi principalement dans le dessein de dire du mal d'autrui (M. DUPUIS / L. MOREILLON / C. PIGUET / S. BERGER / M. MAZOU / V. RODIGARI, Petit Commentaire du Code pénal, 2e éd., Bâle 2017, n. 35 ad art. 173). 2.2.2.4. Dans le cas où la preuve de la bonne foi est admise, l'auteur de l'allégation est acquitté (M. DUPUIS et al. , op. cit ., n. 39 ad art. 173 citant : ATF 119 IV 44 consid. 3 , JdT 1995 IV 121)</w:t>
      </w:r>
    </w:p>
    <w:p>
      <w:r>
        <w:rPr>
          <w:b/>
        </w:rPr>
        <w:t>E. 2.3</w:t>
      </w:r>
    </w:p>
    <w:p>
      <w:r>
        <w:t>En l'espèce, l'intimé a admis être l'auteur des deux missives adressées à l'appelant les 4 et 22 mars 2016. La teneur du premier courrier n'est pas de nature à porter atteinte à l'honneur de l'appelant, dans la mesure où ce dernier y était simplement invité à revérifier ses effets personnels en vue de la restitution des composants disparus, ce qui n'excluait pas qu'il ait pu les emporter par mégarde, comme cela a été indiqué par l'intimé devant le premier juge. Il en va différemment du courrier du 22 mars 2016, dans lequel l'intimé accuse l'appelant d'avoir dissimulé les composants en question et de les avoir emportés avec lui le 29 février 2016, en " défiant les règles élémentaires de [leurs] relations contractuelles ". Se pose alors la question de savoir si l'intimé disposait, au moment où il a rédigé le courrier litigieux, de raisons sérieuses de croire à la culpabilité de l'appelant. D'après les informations dont l'intimé avait connaissance, l'appelant était la dernière personne à avoir manipulé les composants du modèle 1______, dont la disparition avait été constatée le 1 er mars 2016, l'intéressé ayant admis avoir travaillé avec lesdits composants la veille, comme cela ressort du courrier du 4 mars 2016. L'intimé savait que l'appelant avait très mal réagi à son licenciement, intervenu le 29 février 2016, et était supposé s'être montré menaçant à l'égard de ses supérieurs et de l'entreprise. Il savait également qu'à la suite de cet entretien, le responsable d'atelier avait laissé l'employé licencié sans surveillance pendant plusieurs minutes à sa place de travail et qu'à son retour dans l'atelier, il avait omis de vérifier le contenu des cartons préparés par l'appelant, ainsi que les composants rangés dans sa Lista, laquelle avait été fermée à clé immédiatement après son départ. C'était le responsable d'atelier, soit l'une des quatre personnes autorisées à entrer dans l'atelier - A______ compris - qui avait personnellement ré-ouvert la Lista le lendemain matin et s'était rendu compte de la disparition de l'ensemble des composants du modèle 1______, dont la fabrication avait été confiée à l'appelant. Entre le 1 er mars, lorsque la disparition avait été constatée, et le 22 mars 2016, date du courrier litigieux, l'appelant avait été contacté téléphoniquement à deux reprises et un courrier - celui du 4 mars 2016 - lui avait été adressé, sans que ses réponses ne permettent de mettre la main sur les composants disparus. D'intenses recherches avaient par ailleurs été entreprises au sein de la manufacture, comprenant notamment la fouille des locaux, la tenue d'inventaires et la mise en place de contrôles informatiques, en vain. La CPAR retient par conséquent que l'intimé avait, le 22 mars 2016, entrepris toutes les démarches que l'on pouvait raisonnablement attendre de lui pour se convaincre de la culpabilité de l'appelant. L'ensemble de ces éléments, cumulé aux réponses laconiques de l'intéressé qui, d'après ce qui avait été rapporté à l'intimé, s'était contenté de répondre que cela ne le concernait plus, ont pu raisonnablement conduire l'auteur du courrier litigieux à penser que l'appelant, fâché par son licenciement, avait pu dérober les composants en question afin de nuire à son ancien employeur, ce d'autant qu'aucun composant n'avait jamais disparu de la manufacture en 16 années d'activité. Partant, il y a lieu d'acquitter l'intimé du chef d'injure et de confirmer le jugement entrepris.</w:t>
      </w:r>
    </w:p>
    <w:p>
      <w:r>
        <w:rPr>
          <w:b/>
        </w:rPr>
        <w:t>E. 3</w:t>
      </w:r>
    </w:p>
    <w:p>
      <w:r>
        <w:t>L'appelant, qui succombe, supportera les frais de la procédure d'appel, qui comprennent un émolument de CHF 1'500.- (art. 14 al. 1 let. e du Règlement fixant le tarif des frais en matière pénale [RTFMP - E 4 10.03] et 428 al. 1 CPP).</w:t>
      </w:r>
    </w:p>
    <w:p>
      <w:r>
        <w:rPr>
          <w:b/>
        </w:rPr>
        <w:t>E. 4</w:t>
      </w:r>
    </w:p>
    <w:p>
      <w:r>
        <w:t>4.1.1. L'acquittement prononcé en première instance étant confirmé, le droit à une indemnisation en application de l'art. 429 al. 1 CPP est ouvert à l'intimé. Cette indemnisation est en principe due par l'Etat, en vertu de sa responsabilité causale dans la conduite des procédures pénales (ATF 142 IV 237 consid. 1.3.1). Toutefois,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consid.1.1). 4.1.2. Les honoraires d'avocat se calculent selon le tarif local, à condition qu'ils restent proportionnés (N. SCHMID, Schweizerische Strafprozessordnung : Praxiskommentar ,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 Basler Kommentar StPO/JStPO , Bâle 2011, n. 19 ad art. 429). La Cour de justice retient un taux horaire de CHF 450.- pour les chefs d'étude ( ACPR/112/2014 du 26 février 2014, renvoyant à SJ 2012 I 175 ; ACPR/279/2014 du 27 mai 2014, ACPR/21/2014 du 13 janvier 2014) et de CHF 350.- pour les collaborateurs ( AARP/65/2017 du 23 février 2017 ; AARP/125/2012 du 30 avril 2012).</w:t>
      </w:r>
    </w:p>
    <w:p>
      <w:r>
        <w:rPr>
          <w:b/>
        </w:rPr>
        <w:t>E. 4.2</w:t>
      </w:r>
    </w:p>
    <w:p>
      <w:r>
        <w:t>Considéré dans sa globalité, l'état de frais produit par le conseil de l'intimé paraît en adéquation avec la nature, l'importance et la difficulté relative de la cause, ce que l'appelant ne conteste au demeurant pas, de sorte qu'il n'est pas nécessaire de reprendre le détail des postes qui le composent. Sera cependant réservé le tarif horaire de CHF 450.- appliqué pour le collaborateur, qui sera ramené à CHF 350.-. Au surplus, il y a lieu d'indemniser une heure d'entretien en vue de l'audience, ainsi qu'une heure et cinq minutes correspondant à la durée des débats d'appel. L'appelant sera dès lors condamné à payer à l'intimé un montant de CHF 1'602.05 en couverture des dépenses nécessaires de ce dernier durant la procédure d'appel, TVA au taux de 7.7% (CHF 114.55)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