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P/10121/2022 vom 9. Februar 2025</w:t>
      </w:r>
    </w:p>
    <w:p>
      <w:r>
        <w:t>GE Cour de justice, 2025-02-09, FR</w:t>
      </w:r>
    </w:p>
    <w:p>
      <w:r>
        <w:rPr>
          <w:b/>
        </w:rPr>
        <w:t xml:space="preserve">Quelle: </w:t>
      </w:r>
      <w:r>
        <w:t>https://mcp.opencaselaw.ch/entscheid/ge_gerichte_P_10121_2022</w:t>
      </w:r>
    </w:p>
    <w:p>
      <w:r>
        <w:t>FR: GE_GERICHTE P/10121/2022 du 9 février 2025</w:t>
      </w:r>
    </w:p>
    <w:p>
      <w:r>
        <w:t>IT: GE_GERICHTE P/10121/2022 del 9 febbraio 2025</w:t>
      </w:r>
    </w:p>
    <w:p>
      <w:pPr>
        <w:pStyle w:val="Heading2"/>
      </w:pPr>
      <w:r>
        <w:t>Regeste</w:t>
      </w:r>
    </w:p>
    <w:p>
      <w:r>
        <w:t>ESCROQUERIE;FAUX INTELLECTUEL DANS LES TITRES;LOI COVID-19;PRÊT DE CONSOMMATION | CP.146; CP.251; CPP.9; CPP.329; CPP.333; CPP.430</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L'art. 9 CPP consacre la maxime d'accusation, laquelle découle également des art. 29 al. 2 de la Constitution fédérale (Cst ; droit d'être entendu), 32 al. 2 Cst. (droit d'être informé, dans les plus brefs délais et de manière détaillée, des accusations portées contre soi) et 6 par. 3 let. a de la Convention européenne des droits de l'homme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 5 février 2019 consid. 1.1). Lorsqu'une disposition pénale énumère des situations distinctes, le comportement exact reproché au prévenu doit être précisé dans l'acte d'accusation. En effet, il n'appartient pas au prévenu d'imaginer quels comportements pourraient lui être reprochés et de développer une défense pour chaque hypothèse (arrêt du Tribunal fédéral 6B_670/2020 du 14 décembre 2020 consid. 1.4).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2.2.1. À certaines conditions, les art. 329 al. 2 et 333 CPP dérogent à la maxime d'accusation en permettant au tribunal saisi de donner au ministère public la possibilité de modifier ou de compléter l'acte d'accusation (arrêt du Tribunal fédéral 6B_177/2019 du 18 mars 2019 consid. 3.1). L'art. 333 al. 1 CPP prévoit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aussi autoriser le ministère public à compléter l'accusation lorsqu'il appert durant les débats que le prévenu a encore commis d'autres infractions (art. 333 al. 2 CPP). Le tribunal ne peut fonder son jugement sur une accusation modifiée ou complétée que si les droits de partie du prévenu et de la partie plaignante ont été respectés (art. 333 al. 4 CPP). L'objet de la procédure d'appel est en principe limité à l'état de fait déjà traité dans le cadre du jugement de première instance (art. 404 al. 1 CPP). L'art. 329 al. 2 CPP ne permet une extension de l'accusation qu'en rapport avec l'objet de la procédure, tel qu'il a été circonscrit en première instance. On ne peut pas non plus se fonder sur l'art. 333 al. 1 CPP pour prendre en compte en appel des faits qui n'avaient pas été poursuivis jusqu'alors (ATF 147 IV 167 consid. 1.2 à 1.4). Il n'est pas non plus possible d'opérer une combinaison des possibilités offertes par les art. 329 et 333 CPP dans le cas où une situation impliquerait la seule modification de l'accusation au sens de l'art. 333 al. 1 CPP et ainsi permettre à la fois la modification de l'acte au sens de cette disposition et l'administration de preuves complémentaires par le ministère public, seulement envisageable dans le cadre d'un renvoi fondé sur l'art. 329 CPP. Si le renvoi de l'acte d'accusation au ministère public en application de cette disposition lui permet d'administrer des preuves complémentaires, il ne lui permet en effet pas de modifier l'acte d'accusation. Inversement, une modification de l'acte d'accusation prévue par l'art. 333 CPP peut déboucher sur une qualification juridique nouvelle mais sans possibilité pour le ministère public de reprendre la maîtrise de la procédure et d'administrer de nouvelles preuves (M. SIMEONI, La modification de l'acte d'accusation au sens de l'art. 331 al. 1 CPP, in RPS 138/2020 187, p. 195 ; N. RUCKSTUHL, Art. 329 Abs. 2 und 333 Abs. 1 stopp : Kombination von (verbindlicher Rückweisung des Anklage und Einladung zur (fakultativen) Änderung ?, in forumpoenale 1/2019 65, p. 69)). 2.2.2. Tant l'art. 329 CPP que l'art. 333 CPP sont applicables en appel, mais dans les limites de l'interdiction de la reformation in pejus (art. 391 al. 2 CPP), l'extension de l'accusation en appel n'étant possible qu'en rapport avec l'objet de la procédure, tel que circonscrit en première instance à l'exclusion de faits (art. 329 al. 2 CPP) ou de chefs d'accusation (art. 333 al. 2 CPP) supplémentaires. Cette interdiction fait en effet obstacle à un verdict de culpabilité complémentaire reposant sur une infraction découverte au cours de la procédure d'appel (cf. art. 333 al. 2 CPP). Seul un appel interjeté en défaveur du prévenu, en rapport avec l'objet de la procédure de première instance, empêche ce dernier de se prévaloir de l'interdiction de la reformatio in pejus, et ce uniquement dans les limites des conclusions prises par la partie qui interjette appel. La juridiction d'appel est donc d'autant moins fondée à introduire dans la procédure un verdict de culpabilité complémentaire. En ce sens, l'art. 333 al. 2 CPP est totalement inapplicable en procédure d'appel (ATF 147 IV 167 consid. 1.3 et 1.5.1-1.5.3 = JdT 2022 IV 19).</w:t>
      </w:r>
    </w:p>
    <w:p>
      <w:r>
        <w:rPr>
          <w:b/>
        </w:rPr>
        <w:t>E. 2.3</w:t>
      </w:r>
    </w:p>
    <w:p>
      <w:r>
        <w:t>), la seule mention " à des fins personnelles " étant insuffisante pour retenir ces faits à l'encontre du prévenu, vu l'art. 9 CPP et la jurisprudence y relative. 3.4.3. Compte tenu de ce qui précède, l'acquittement de l'appelant des chefs d'escroquerie (art. 146 al. 1 CP) et de faux dans les titres (art. 251 ch. 1 CP) ne peut qu'être prononcé. Le jugement entrepris sera partant annulé.</w:t>
      </w:r>
    </w:p>
    <w:p>
      <w:r>
        <w:rPr>
          <w:b/>
        </w:rPr>
        <w:t>E. 3.1</w:t>
      </w:r>
    </w:p>
    <w:p>
      <w:r>
        <w:t>Le principe in dubio pro reo, qui découle de la présomption d'innocence, garantie par l'art. 6 ch. 2 CEDH et par les art. 32 al. 1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3.2.1. Selon l'art. 146 al. 1 CP, en vigueur au moment des faits,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3.2.2.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142 IV 153 consid. 2.2.2 ; 135 IV 76 consid. 5.2). 3.2.3. Le Tribunal fédéral s'est récemment penché sur la question des crédits COVID-19 (ATF 150 IV 169 et les références citées). Selon lui, il est incontestable qu'en fournissant des informations trompeuses dans le formulaire, le demandeur d'un tel crédit induit en erreur quant au respect des conditions d'octroi de l'aide immédiate. La jurisprudence selon laquelle il n'existait aucune tromperie astucieuse dans le cas de l'octroi de petits crédits par un établissement bancaire sur la seule base des fausses informations fournies par le demandeur, sans exiger de pièces justificatives ni procéder à quelque vérification que ce soit (cf. ATF 107 IV 169 consid. 2c ; arrêt du Tribunal fédéral 6B_383/2019 du 8 novembre 2019 consid. 6.5.4, non publié à l'ATF 145 IV 470 ), n'est pas transposable aux crédits COVID-19, lesquels ont été conçus comme une " aide immédiate " aux PME, régie par une réglementation spécifique, soumise à des conditions précises et versée sur la base d'une auto-déclaration. Compte tenu des particularités de la situation à l'époque et du mécanisme mis en place pour y faire face dans le cadre de tels crédits, même de simples fausses informations constituent une tromperie astucieuse, indépendamment de l'existence éventuelle d'une relation de confiance entre le demandeur et la banque qui octroie le crédit. En effet, si la vérification du respect des autres conditions de l'art. 3 al. 1 en lien avec l'art. 7 al. 1 OCaS-COVID-19 était théoriquement possible, elle n'était pas raisonnablement exigible, sauf à mettre en péril le but poursuivi par les crédits COVID-19 conçus comme une aide immédiate (consid. 5.1.4). 3.2.4. Pour que le crime d'escroquerie soit consommé, l'erreur dans laquelle la tromperie astucieuse a mis ou conforté la dupe doit avoir déterminé celle-ci à accomplir un acte préjudiciable à ses intérêts pécuniaires ou à ceux d'un tiers. Celui qui promet une prestation sans avoir l'intention de l'exécuter agit astucieusement parce qu'en promettant, il donne le change sur ses véritables intentions, ce que sa victime est dans l'impossibilité de vérifier (ATF 118 IV 359 consid. 2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L'emprunteur qui a l'intention de rembourser son bailleur de fonds n'agit pas astucieusement lorsqu'il ne l'informe pas spontanément de son insolvabilité (ATF 86 IV 205 ). Il en va en revanche différemment lorsque l'auteur présente une fausse vision de la réalité de manière à dissuader le prêteur de se renseigner sur sa situation financière ou lorsque des circonstances particulières font admettre à l'auteur que le prêteur ne posera pas de questions sur ce point (ATF 86 IV 206 ; arrêts du Tribunal fédéral 6B_817/2018 du 23 octobre 2018 consid. 2.4.1 ; 6P.113/2006 du 27 septembre 2006 consid. 6.1). 3.2.5. L'escroquerie n'est consommée que s'il y a un dommage (arrêts du Tribunal fédéral 6B_130/2016 du 21 novembre 2016 consid. 2.1 et 6B_552/2013 du 9 janvier 2014 consid. 2.3.2 ; CORBOZ, Les infractions en droit suisse, n. 32 ad art. 146 CP). Un dommage prenant la forme d'une mise en danger du patrimoine peut être retenu lorsqu'un emprunteur trompe un prêteur quant à sa solvabilité ou ses capacités financières. Le crédit accordé se révèle alors moins sûr que ce qui avait été prévu par le prêteur, ce qui se traduit par une diminution de la valeur du prêt dans son bilan eu égard au risque accru de défaut de remboursement. Dans un tel cas, le dommage se produit dès la conclusion du contrat de prêt car, dès ce moment, un prêt est accordé à des conditions plus favorables que celles qui auraient été accordées en l'absence d'une tromperie, cela même lorsque la valeur du prêt est couverte par des sûretés car la solvabilité de l'emprunteur exerce notamment une influence sur le taux d'intérêts fixé (arrêts du Tribunal fédéral 6B_54/2019 du 3 mai 2019 consid. 3.4 et 6B_112/2018 du 4 mars 2019 consid. 6.2.2 et 6.2.3). Dans le cadre des crédits COVID-19, le Tribunal fédéral a souligné qu'une capacité de remboursement n'impliquait pas nécessairement aussi une volonté de le faire de sorte que le fait que les emprunteurs disposaient de liquidités suffisantes pour rembourser les prêts n'était pas pertinent (arrêt du Tribunal fédéral 6B_271/2022 du 11 mars 2024 consid. 6.1.3, non-publié à l'ATF 150 IV 169 ). 3.2.6. Sur le plan subjectif, l'escroquerie est une infraction intentionnelle, l'intention devant porter sur tous les éléments constitutifs de l'infraction, le dol éventuel étant suffisant. L'auteur doit en outre agir dans le dessein de se procurer ou de procurer à un tiers un enrichissement illégitime (ATF 134 IV 210 consid. 5.3). 3.3.1. L'art. 251 ch. 1 CP, en vigueur au moment des faits,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3.3.2. L'art. 251 CP vise tant le faux matériel que le faux intellectuel. Le faux intellectuel vise l'établissement d'un titre qui émane de son auteur apparent, mais qui est mensonger dans la mesure où son contenu ne correspond pas à la réalité. Un simple mensonge écrit ne constitue pas un faux intellectuel punissable. Pour que le mensonge soit punissable comme faux intellectuel, il faut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144 IV 13 consid. 2.2.3 ; 142 IV 119 consid. 2.1 ; 138 IV 130 consid. 2.1 ; arrêt du Tribunal fédéral 6B_55/2017 du 24 mars 2017 consid. 2.2). 3.3.3. Le Tribunal fédéral a confirmé que le formulaire de crédit COVID-19 constituait un titre au sens de l'art. 110 al. 4 CP (arrêt du Tribunal fédéral 7B_274/2022 du 1 er mars 2022 consid. 4.3). Il a toutefois récemment souligné que ce document ne revêt pas nécessairement une valeur probante accrue dans le cadre du faux intellectuel en ce qui concerne les assurances données par le preneur de crédit, s'agissant de son engagement d'utiliser le montant du crédit pour couvrir les besoins courants de liquidités et de sa confirmation qu'il était substantiellement affecté sur le plan économique par la pandémie du COVID-19, notamment en ce qui concerne son chiffre d'affaires. Notre Haute Cour ne s'est toutefois pas prononcée sur la valeur probante accrue de l'indication par le preneur de crédit du chiffre d'affaires, dès lors que celui-ci était exact dans le cas d'espèce (arrêt du Tribunal fédéral 6B_262/2024 du 27 novembre 2024 destiné à la publication, consid. 1.9.5 à 1.9.7). 3.3.4. Sur le plan subjectif, le faux dans les titres est une infraction intentionnelle. L'intention doit porter sur tous les éléments constitutifs. Le dol éventuel suffit (ATF 141 IV 369 consid. 7.4). L'art. 251 CP exige de surcroît un dessein spécial, qui peut se présenter sous deux formes alternatives, soit le dessein de porter atteinte aux intérêts pécuniaires ou aux droits d'autrui ou le dessein de procurer à un tiers un avantage illicite (ATF 138 IV 130 consid. 3.2.4 ; arrêt du Tribunal fédéral 6B_736/2016 du 9 juin 2017 consid. 2.1). L'avantage est une notion très large : il suffit que l'auteur veuille améliorer sa situation (ATF 133 IV 303 consid. 4.4). 3.3.5. Lorsque le faux dans les titres est un moyen de commettre ou de dissimuler une autre infraction et que la définition de celle-ci n'englobe pas déjà le faux, l'art. 251 CP doit être appliqué en concours (B. CORBOZ, Les infractions en droit suisse, Vol. II, n. 188-189 ad art. 251). Ainsi, il y a concours entre les art. 146 et 251 CP lorsque l'auteur utilise des titres falsifiés pour commettre une escroquerie (ATF 129 IV 53 in JdT 2006 IV 7 consid. 3 et références citées). 3.4.1. En l'occurrence, le premier juge a considéré que l'appelant avait sciemment mentionné un chiffre d'affaires mensonger sur le formulaire COVID-19 pour l'année 2019, en se basant sur les décomptes TVA ainsi que sur le compte de pertes et profits de la société pour l'année en question, dans le but d'améliorer sa situation financière par l'obtention d'un prêt de CHF 45'000.- de la banque F______. Or, le TP a omis de prendre en considération que ces documents étaient incomplets et ne reflétaient pas la réalité. Le bilan comptable ainsi que le compte de pertes et profits 2019 de la société ont été imprimés le 3 septembre 2019 de sorte qu'il manque nécessairement plusieurs mois d'activité de la société. Le chiffre d'affaires mentionné dans ce document (CHF 182'711.16) correspond d'ailleurs aux six premiers mois d'activité seulement. Les décomptes TVA suivants n'ont en effet jamais été remis, en raison notamment de la démission de la comptable de la société courant été 2019, comme concédé par l'appelant, si bien que la société a été taxée d'office. Le fait que ce montant soit en deçà de la moitié du chiffre d'affaires annoncé pour l'année entière est insuffisant pour retenir que celui-ci est erroné et que l'appelant en était conscient, étant rappelé qu'il ne disposait pas du bilan comptable lors du dépôt de sa demande de prêt COVID-19, ni même de la déclaration fiscale. En mars 2020, l'appelant n'était ainsi en possession d'aucun document formel pour attester du chiffre d'affaires de la société. Il s'est alors basé sur les crédits perçus par celle-ci durant toute l'année 2019, en répertoriant le total des entrées d'argent figurant sur le compte bancaire de la société au 31 décembre 2019 (CHF 475'269.14), montant qu'il n'a nullement inventé. Certes, cette somme ne correspond pas exactement au chiffre d'affaires réellement obtenu par la société mais cela est insuffisant pour retenir que le prévenu a intentionnellement menti dès lors que ce montant trouve une assise dans le dossier, vu notamment la mention " chiffre d'affaires " sur les extraits de compte de la société, et est cohérent avec ceux des années précédentes. Par ailleurs, en examinant tous les montants crédités sur le compte de la société pour l'année 2019, en lien avec sa seule activité, la Cour de céans constate un chiffre d'affaires brut d'environ CHF 422'638.45. Outre ces constatations, le formulaire COVID-19 permettait également d'inscrire le chiffre d'affaires provisoire 2019, voire même celui de 2018, lequel était alors équivalent et correspondait à CHF 458'814.19, de sorte que si l'appelant avait mentionné ce dernier montant, il aurait obtenu le même prêt. Partant, bien que le formulaire de crédit COVID-19 utilisé par l'appelant est constitutif d'un titre au sens de l'art. 110 al. 4 CP, il ne peut être considéré, au vu des éléments figurant au dossier, que le prévenu a sciemment menti sur le chiffre d'affaires de la société en vue d'obtenir un prêt qui lui était indu, le doute devant lui profiter. Le fait qu'il n'ait pas fait vérifier ce montant par un professionnel n'y change rien, d'autant que le prêt reçu (CHF 45'000.-) correspond aux 10% du bilan 2018 (CHF 458'814.19). Par conséquent, l'appelant sera acquitté du chef de faux dans les titres, son appel étant admis sur ce point et le jugement réformé en ce sens. 3.4.2. Pour ce qui est du chef d'escroquerie, la problématique de ce dossier réside non pas dans la rémunération de l'appelant par la société E______ SÀRL ou les retraits en espèces effectués par ce dernier sur le compte de la société, mais bien plutôt dans le fait qu'il semble avoir utilisé son compte bancaire personnel pour encaisser les factures de celle-ci dès novembre 2020, organisant de la sorte l'insolvabilité de la société et éviter ainsi de devoir rembourser le prêt COVID-19. En effet, le fait que l'appelant ait augmenté en partie son salaire dès réception du montant du prêt, ne suffit pas pour conclure que le prêt octroyé n'a pas été utilisé pour les besoins de liquidités courants de la société, étant rappelé qu'il était en 2020 le seul employé de celle-ci et que cette dernière était en activité. Certes, on peine à comprendre la justification de cette augmentation, vu la baisse d'activité de la société en raison de la pandémie, et le prévenu lui-même ne l'explique pas. Cela étant, elle seule ne permet pas de retenir un comportement constitutif d'escroquerie, lors de la signature de la convention de prêt, dès lors que l'appelant n'a fourni aucune information trompeuse dans le formulaire COVID-19 à ce moment-là et était éligible à l'obtention d'un tel prêt, comme établi précédemment. Son salaire faisait également partie des charges courantes de la société. Il en va de même des retraits effectués d'un montant total de CHF 8'758.10 après l'obtention dudit prêt, dès lors que ceux-ci ne semblent pas inhabituels au fonctionnement de la société, vu les retraits opérés en l'espèce en 2018 (CHF 119'494.81) et en 2019 (CHF 97'926.70), comparés à ceux effectués par l'appelant en 2020 (CHF 15'843.15 de janvier à septembre). Aucun élément ne permet en outre d'affirmer ou d'infirmer qu'ils n'ont pas été affectés aux dépenses courantes de la société de sorte que le doute doit à nouveau profiter à l'accusé. Cela dit, d'autres éléments pourraient faire transparaître les réelles intentions de l'appelant quant à l'utilisation des fonds de la société E______ SÀRL et quant à sa volonté de rembourser le prêt. Dès novembre 2020 et ce, jusqu'en juillet 2021, il a régulièrement encaissé les factures de celle-ci sur son compte personnel, et non sur le compte de l'entreprise, ce qu'il a lui-même admis en appel sans toutefois l'expliquer, et ce qui ressort également de ses comptes bancaires, conduisant ainsi à la faillite de la société quelques mois après, pour avoir été radiée le ______ août 2021. Partant, l'appelant semble avoir perçu sur son compte bancaire personnel, dès novembre 2020, des montants qui pourraient revenir à la société E______ SÀRL, l'instruction et l'acte d'accusation étant toutefois muets à cet égard. La Cour constate en outre que le prévenu a fondé en septembre 2020 la société individuelle A______/AB______, tout en concédant qu'il effectuait un travail similaire à la SÀRL (des petites " bricoles ") et que la gestion d'une entreprise individuelle était plus facile que celle d'une SÀRL. De surcroît, bien qu'il ait d'abord nié avoir eu une quelconque implication dans la création de la société AA______ SÀRL, avant le prononcé de la faillite de la société E______ SÀRL, il a concédé ultérieurement avoir eu l'idée de fonder cette société avec T______, dont l'inscription au RC a été requise le ______ février 2020 par ce dernier, lequel a également conseillé l'appelant, comme admis par celui-ci, tant dans la gestion de la société E______ SÀRL que dans celle de A______/AB______. Il ressort également du compte bancaire du prévenu qu'il percevait déjà dès mars 2021, soit avant la dissolution de la société E______ SÀRL, des montants mensuels de la société AA______ SÀRL, alors qu'il était toujours employé par E______ SÀRL, revenu qui ne ressort pourtant nullement de son certificat de salaire 2021, lequel fait mention uniquement d'une activité dès juin 2021. Ce comportement laisse songeur. En dépit de ces constatations, aucune infraction pénale ne peut toutefois être retenue à l'encontre de l'appelant dès lors que l'ordonnance pénale, valant acte d'accusation, ne fait état d'aucun de ces éléments et que la CPAR est liée par son contenu, n'ayant aucun moyen d'y remédier (cf. supra consid.</w:t>
      </w:r>
    </w:p>
    <w:p>
      <w:r>
        <w:rPr>
          <w:b/>
        </w:rPr>
        <w:t>E. 4</w:t>
      </w:r>
    </w:p>
    <w:p>
      <w:r>
        <w:t>Au vu de ce qui précède, l'intimé sera renvoyé à agir par la voie civile pour ce qui est de ses prétentions en réparation de son dommage matériel.</w:t>
      </w:r>
    </w:p>
    <w:p>
      <w:r>
        <w:rPr>
          <w:b/>
        </w:rPr>
        <w:t>E. 5.1</w:t>
      </w:r>
    </w:p>
    <w:p>
      <w:r>
        <w:t>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 Selon l'art. 426 al. 1 CPP, le prévenu supporte les frais de procédure s'il est condamné.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Le juge ne peut fonder sa décision que sur des faits incontestés ou déjà clairement établis (arrêt du Tribunal fédéral 7B_35/2022 du 22 février 2024 consid. 4.3). 5.2.1. Vu l'admission de l'appel du prévenu, donnant lieu à son acquittement, les frais de la procédure d'appel seront laissés à la charge de l'État. 5.2.2. La situation est toutefois différente s'agissant des frais de première instance. En sa qualité d'associé gérant de la société E______ SÀRL, l'appelant semble avoir empêché l'augmentation des actifs de la société en utilisant son compte privé pour encaisser les factures de la société, au détriment de ses créanciers, entraînant la faillite de l'entreprise. De par ses agissements, il a violé une norme de comportement civile, que seule l'action révocatoire permettrait de corriger (art. 285ss de la loi fédérale sur la poursuite pour dettes et la faillite [LP]), provoquant ainsi de manière illicite et fautive l'ouverture de la procédure pénale diligentée à son encontre. Les frais de la procédure préliminaire et de première instance seront ainsi mis à sa charge, conformément à l'art. 426 al. 2 CPP.</w:t>
      </w:r>
    </w:p>
    <w:p>
      <w:r>
        <w:rPr>
          <w:b/>
        </w:rPr>
        <w:t>E. 6</w:t>
      </w:r>
    </w:p>
    <w:p>
      <w:r>
        <w:t>6.1.1. Aux termes de l'art. 436 al. 1 CPP, les prétentions en indemnités et en réparation du tort moral dans la procédure de recours sont régies par les art. 429 à 434 CPP. Cette disposition vise la procédure de recours en général, à savoir les procédures d'appel et de recours.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 arrêts du Tribunal fédéral 6B_620/2016 du 17 mai 2017 consid. 2.2.3 ; 6B_118/2016 du 20 mars 2017 consid. 4.5.1). 6.1.2. À teneur de l'art. 429 al. 1 let. a CPP, le prévenu a droit, s'il est acquitté totalement ou en partie, à une indemnité pour les dépenses occasionnées par l'exercice raisonnable de ses droits de procédure. L'autorité pénale amenée à fixer une telle indemnité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(arrêt du Tribunal fédéral 6B_528/2010 du 16 septembre 2010 consid. 2.1, cité in M. NIGGLI/ M. HEER/ H. WIPRÄCHTIGER (éds), Strafprozessordnung/ Jugendstrafprozessordnung, Basler Kommentar StPO/JStPO, 2ème éd., Bâle 2014, n. 19a ad art. 429 CPP). 6.1.3. L'autorité pénale peut réduire ou refuser l'indemnité prévue à l'art. 429 al. 1 let. a CPP lorsque le prévenu a provoqué illicitement et fautivement l'ouverture de la procédure ou a rendu plus difficile la conduite de celle-ci (art. 430 al. 1 let. a CPP). L'art. 430 al. 1 let. a CPP est le pendant de l'art. 426 al. 2 CPP en matière de frais. Dans cette mesure, la décision sur les frais préjuge de la question de l'indemnisation. Si le prévenu supporte les frais en application de l'art. 426 al. 1 ou 2 CPP, une indemnité est en règle générale exclue, alors que le prévenu y a, en principe, droit si l'État supporte les frais de la procédure pénale (arrêt du Tribunal fédéral 6B_74/2022 du 4 mai 2023 consid. 1.1.4). L'art. 430 al. 1 CPP posant les mêmes conditions que l'art. 426 al. 2 CPP, on peut se référer à la jurisprudence rendue en matière de condamnation aux frais du prévenu acquitté (arrêt du Tribunal fédéral 6B_77/2013 du 4 mars 2013 consid. 2.3). 6.2.1. Dans la mesure où le prévenu devra supporter les frais de la procédure préliminaire et de première instance (cf. supra consid. 5.2.2. ), il ne saurait prétendre à l'indemnisation de ses frais d'avocat pour ce volet (art. 430 al. 1 let. a CPP), laquelle sera donc refusée. 6.2.2. Il en va toutefois différemment en appel, vu l'acquittement du prévenu. Celui-ci a en effet le droit à une telle indemnité ; l'activité détaillée apparaît nécessaire et adéquate au vu du dossier et sera ainsi fixée à CHF 4'265.45, correspondant à dix heures et 25 minutes, au tarif horaire de CHF 350.- (CHF 3'645.83) et à deux heures, au tarif horaire de CHF 150.- (CHF 300.-), TVA au taux de 8.1% en sus (CHF 319.60).</w:t>
      </w:r>
    </w:p>
    <w:p>
      <w:r>
        <w:rPr>
          <w:b/>
        </w:rPr>
        <w:t>E. 7.1</w:t>
      </w:r>
    </w:p>
    <w:p>
      <w:r>
        <w:t>L'art. 433 al. 1 let. b CPP permet à la partie plaignante de demander au prévenu une juste indemnité pour les dépenses obligatoires occasionnées par la procédure lorsque le prévenu est astreint au paiement des frais conformément à l'art. 426 al. 2 CPP. La juste indemnité, notion qui laisse un large pouvoir d'appréciation au juge, couvre les dépenses et les frais nécessaires pour faire valoir le point de vue de la partie plaignante dans la procédure pénale. Il s'agit en premier lieu des frais d'avocat de celle-ci (arrêts du Tribunal fédéral 6B_549/2015 du 16 mars 2016 consid. 2.3 in SJ 2017 I 37 ; 6B_495/2014 du 6 octobre 2014 consid. 2.1 ; 6B_965/2013 du 3 décembre 2013 consid. 3.1.1). 7.2.1. Vu la condamnation du prévenu aux frais de la procédure préliminaire et de première instance (cf. supra consid. 5.2.2. ), l'intimé est en droit de lui réclamer une juste indemnité pour ses frais d'avocat. Dans la mesure où aucune des parties n'a concrètement contesté, au-delà de l'acquittement plaidé par l'appelant, l'indemnité de CHF 4'500.- octroyée pour la procédure préliminaire et de première instance par le premier juge à l'intimé, laquelle est adéquate et justifiée, celle-ci sera confirmée. 7.2.2. Le prévenu ayant été acquitté en appel, aucune indemnité ne peut être octroyée à l'intimé pour ce volet, qui sera alors débouté de ses conclusions en indemnisation.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