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P/10121/2018 vom 23. April 2020</w:t>
      </w:r>
    </w:p>
    <w:p>
      <w:r>
        <w:t>GE Cour de justice, 2020-04-23, FR</w:t>
      </w:r>
    </w:p>
    <w:p>
      <w:r>
        <w:rPr>
          <w:b/>
        </w:rPr>
        <w:t xml:space="preserve">Quelle: </w:t>
      </w:r>
      <w:r>
        <w:t>https://mcp.opencaselaw.ch/entscheid/ge_gerichte_P_10121_2018</w:t>
      </w:r>
    </w:p>
    <w:p>
      <w:r>
        <w:t>FR: GE_GERICHTE P/10121/2018 du 23 avril 2020</w:t>
      </w:r>
    </w:p>
    <w:p>
      <w:r>
        <w:t>IT: GE_GERICHTE P/10121/2018 del 23 aprile 2020</w:t>
      </w:r>
    </w:p>
    <w:p>
      <w:pPr>
        <w:pStyle w:val="Heading2"/>
      </w:pPr>
      <w:r>
        <w:t>Regeste</w:t>
      </w:r>
    </w:p>
    <w:p>
      <w:r>
        <w:t>LEI.118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conclut à la culpabilité du prévenu. 2.1.1. À teneur de l'art. 116 al. 1 let. a LEI, soit l'incitation à l'entrée, à la sortie ou au séjour illégaux, est puni d'une peine privative de liberté d'un an au plus ou d'une peine pécuniaire quiconque, en Suisse ou à l'étranger, facilite l'entrée, la sortie ou le séjour illégal d'un étranger ou participe à des préparatifs dans ce but. L'alinéa 3 let. a de cette disposition prévoit que la peine encourue est une peine privative de liberté de cinq ans au plus additionnée d'une peine pécuniaire ou une peine pécuniaire si l'auteur agit pour se procurer ou procurer à un tiers un enrichissement illégitime. Selon le message du Conseil fédéral (FF 2002 p. 3587), l'art. 116 LEI correspond à la disposition pénale visant à combattre la criminalité opérée par les passeurs et correspond à l'art. 23, al. 1, 5e phrase et al. 2 de l'ancienne loi fédérale du 26 mars 1931 sur le séjour et l'établissement des étrangers [LSEE ; RS 142.20]. Selon la jurisprudence applicable à l'art. 23 al. 1 5 ème phrase LSEE, qui garde sa pertinence, la ratio legis de cette disposition était de punir l'auteur qui, par son comportement, rendait plus difficile le prononcé ou l'exécution d'une décision ou encore l'arrestation de l'étranger en situation irrégulière par les autorités. Ainsi, dans ce sens, fournir un logement abritant clandestinement un étranger en situation irrégulière était, en principe, punissable pour autant qu'il s'agisse d'un hébergement d'une certaine durée et qu'il entrave l'action administrative (Tribunal fédéral, arrêts non publiés du 18.08.2000 [ 6S.615/1998 , consid. 2b] et du 27.07.1990 [ 6S.183/1990 ]. C'était l'aspect quantitatif et répétitif d'actes tendant à favoriser le séjour illégal d'une personne déterminée qui constituait le critère adéquat (Cour d'appel pénal du Canton de Fribourg - arrêt du 16 mars 2004 - CAP 2003 48). La facilitation du séjour illicite doit être interprétée d'une manière restrictive (NGUYEN/AMARELLE Eds, Code annoté de droit des migrations vol. II, Loi sur les étrangers, Stämpfli 2017, ad art. 116 LEtr, n° 12). Aussi, sous l'angle de l'art. 116 al. 1 let. a LEI, le comportement de l'auteur doit-il rendre plus difficile le prononcé ou l'exécution d'une décision à l'encontre de l'étranger en situation irrégulière ou restreindre, pour les autorités, les possibilités de l'arrêter. Il est admis que celui qui héberge une personne séjournant illégalement en Suisse facilite le séjour illégal de celle-ci, qu'il agisse en tant qu'hôtelier, de bailleur ou d'employeur qui loue une chambre, si le logement est une cachette permettant ainsi à l'étranger sans autorisation de se soustraire à l'intervention des autorités administratives. L'incitation à un séjour illégal suppose toutefois que l'auteur mette un logement à disposition de l'étranger sans autorisation pendant une certaine durée (arrêt du Tribunal fédéral 6B_128/2009 du 17 juillet 2009 consid. 2.2 et les références citées). 2.1.2.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La peine encourue est une peine privative de liberté de cinq ans au plus additionnée d'une peine pécuniaire ou une peine pécuniaire si, selon son alinéa 3 let. a, l'auteur agit pour se procurer ou procurer à un tiers un enrichissement illégitime.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(VETTERLI/D'ADDARIO DI PAOLO in Bundesgesetz über dis Ausländerinnen und Ausländer , CARONI/GÄCHTER/THURNHERR (Herausgeber), Bern 2010, ad art. 118 n° 4ss ;. NGUYEN/AMARELLE Eds, op. cit. , ad art. 118 LEtr, n° 7ss). Le résultat de l'infraction se produit lorsque l'autorisation de séjour est accordée. A défaut, il s'agit d'une tentative. 2.2.1. En l'espèce, il est constant que, sous la responsabilité du prévenu, un dossier a été adressé à l'OCPM le 21 août 2017, via une société dont il est responsable, pour le renouvellement du permis B de B______ comportant notamment un formulaire K mentionnant que ce dernier habitait à son adresse personnelle au C______ et était son sous-locataire, de même que le contrat de sous-location y relatif et un formulaire S E ratifiés tant par lui-même que par B______ qui tous deux indiquaient que la sous-location avait débuté au 1 er janvier 2017. Il ressort également du dossier que, durant toute l'année 2017, B______ a habité en France et que, comme retenu par la CPAR sous C. e. supra , le contrat de sous-location a été simulé et qu'il s'est uniquement agi de fournir, contre rémunération, une adresse fictive à Genève à B______, mentionnant une date d'entrée en janvier 2017 de sorte à lui faciliter un renouvellement de son permis B. Vu l'absence de séjour illégal de B______ en Suisse et du fait qu'il n'a jamais séjourné à l'adresse du C______ mais uniquement en France, il ne saurait être considéré que A______ a rendu plus difficile le prononcé ou l'exécution d'une décision à l'encontre d'un étranger en situation irrégulière ou restreint, pour les autorités, les possibilités de l'arrêter, tel que requis par la jurisprudence. De surcroît, l'aspect quantitatif et répétitif, de même que la durée nécessaire à l'application de l'art. 116 LEI font défaut. A______ sera ainsi acquitté d'infraction à l'art. 116 al. 1 let. a LEI et le jugement confirmé, l'appel étant rejeté sur ce point. 2.2.2. En revanche, il va de soi qu'en l'absence d'un domicile effectif à Genève, il était exclu que l'OCPM accorde un permis B à B______. Ainsi, en indiquant à l'autorité un domicile fictif de B______ à Genève, A______ a sciemment trompé les autorités dans le but de faciliter au précité l'octroi d'un permis de séjour. L'intention ne fait pas de doute dans la mesure où l'intimé a pris la peine de signer, avec son client, plusieurs documents attestant du fait que B______ résidait bien chez lui et les a fait adresser à l'OCPM avec la demande. Il ressort également du dossier que A______ s'est fait rémunérer pour cette domiciliation fictive. Outre les contradictions dans les explications de l'intimé, cela ressort clairement de son courriel du 2 août 2017 où il indique que s'il devait domicilier également la compagne de B______, le tarif passerait de CHF 3'800.- à CHF 4'800.-. Dans la mesure où les autorités genevoises n'ont pas donné suite à la requête, attendant l'envoi d'un autre formulaire, il s'est agi d'une tentative. A______ sera ainsi reconnu coupable de tentative d'infraction aux art. 118 al. 1 et 3 let. a LEI et le jugement sera réformé, l'appel étant fondé sur ce point. 3.1.1. L'intimé a commis ses actes sous l'empire du droit des sanctions en vigueur jusqu'au 31 décembre 2017, lequel ne lui apparaît pas plus favorable. A l'aune de l'art. 2 CP ( lex mitior ), le droit entré en vigueur le 1 er janvier 2018 sera dès lors appliqué.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(arrêt du Tribunal fédéral 6B_445/2016 du 5 juillet 2017, consid. 6.1.1 et les références citées). 3.1.4.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3.1.5. Aux termes de l'art. 42 al. 1 CP, le juge suspend en règle générale l'exécution d'une peine pécuniaire ou d'une peine privative de liberté de deux ans au plus lorsqu'une peine ferme ne paraît pas nécessaire pour détourner l'auteur d'autres crimes ou délits. Selon l'al. 4, il peut prononcer, en plus du sursis, une peine pécuniaire sans sursis ou une amende selon l'art. 106. Il impartit au condamné un délai d'épreuve de deux à cinq ans (art. 44 al. 1 CP). 3.2. En l'espèce, la faute de l'intimé est d'une importance certaine. Par appât du gain, et en privilégiant ses intérêts personnels, il a cherché à tromper les autorités dans le domaine sensible de la législation sur les étrangers. Son comportement est d'autant plus répréhensible qu'il agissait en tant que professionnel dans ses relations avec l'autorité pour laquelle l'existence d'un lien de confiance avec les mandataires est particulièrement important. La période pénale est cependant courte. L'atténuation de la peine due à la tentative ne sera que de peu d'importance dès lors que l'intimé a fait ce qu'il pouvait pour parvenir à ses fins. Le retrait de la demande n'est manifestement intervenu que du fait de l'arrestation de B______ et de la perquisition intervenue chez A______. La situation personnelle de A______ n'explique en rien ses agissements. Sa collaboration a été extrêmement mauvaise dans la mesure où il n'a fait que nier les faits et les travestir en sa faveur pour mieux s'en distancer. A cet égard, ce manque de collaboration témoigne d'une prise de conscience inexistante. Aucun regret n'a été manifesté quant à son comportement. Une peine pécuniaire de 100 jours-amende à CHF 140.- apparaît sanctionner correctement sa faute. Au vu de l'absence de prise de conscience, elle sera complétée par une amende à titre de sanction immédiate qui sera fixée à CHF 2'500.-. Compte tenu de l'absence d'antécédent, l'intimé sera mis au bénéfice du sursis. Le délai d'épreuve sera fixé à trois ans.</w:t>
      </w:r>
    </w:p>
    <w:p>
      <w:r>
        <w:rPr>
          <w:b/>
        </w:rPr>
        <w:t>E. 3</w:t>
      </w:r>
    </w:p>
    <w:p>
      <w:r>
        <w:t>Dans la mesure où l'intimé se voit reconnu coupable, les frais de première instance seront mis intégralement à sa charge dès lors qu'aucun travail spécifique n'est résulté de l'instruction pour l'infraction dont il a été acquitté (art. 426 CPP). Il succombe partiellement en appel et supportera à raison des deux tiers les frais de la procédure envers l'Etat comprenant un émolument de CHF 1'500.-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