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P/10118/2009 vom 30. April 2015</w:t>
      </w:r>
    </w:p>
    <w:p>
      <w:r>
        <w:t>GE Cour de justice, 2015-04-30, FR</w:t>
      </w:r>
    </w:p>
    <w:p>
      <w:r>
        <w:rPr>
          <w:b/>
        </w:rPr>
        <w:t xml:space="preserve">Quelle: </w:t>
      </w:r>
      <w:r>
        <w:t>https://mcp.opencaselaw.ch/entscheid/ge_gerichte_P_10118_2009</w:t>
      </w:r>
    </w:p>
    <w:p>
      <w:r>
        <w:t>FR: GE_GERICHTE P/10118/2009 du 30 avril 2015</w:t>
      </w:r>
    </w:p>
    <w:p>
      <w:r>
        <w:t>IT: GE_GERICHTE P/10118/2009 del 30 aprile 2015</w:t>
      </w:r>
    </w:p>
    <w:p>
      <w:pPr>
        <w:pStyle w:val="Heading2"/>
      </w:pPr>
      <w:r>
        <w:t>Regeste</w:t>
      </w:r>
    </w:p>
    <w:p>
      <w:r>
        <w:t>ACTE D'ORDRE SEXUEL AVEC UN ENFANT; SURSIS À L'EXÉCUTION DE LA PEINE; ATTÉNUATION DE LA PEINE; PRINCIPE DE LA CÉLÉRITÉ; VIOL; SURSIS PARTIEL À L'EXÉCUTION DE LA PEINE | CP.190; CP.187; CP.42; CP.43; CP.48.e; CPP.5</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 Il n'y a pas lieu de revenir sur le verdict de culpabilité s'agissant d'infractions à l'art. 190 CP, qui punit d'une peine privative de liberté de un à 10 ans, celui qui se sera rendu coupable d'un viol, et à l'art. 187 CP, qui punit d'une peine privative de liberté de cinq ans au plus ou d'une peine pécuniaire celui reconnu coupable d'actes d'ordre sexuel avec des enfants. 2.2.1.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 2.2.2. Sur le plan objectif, seules les peines de 6 mois à 2 ans peuvent être assorties du sursis total (cf. art. 42 al. 1 CP). 2.2.3. Lorsque la durée de la peine privative de liberté se situe, comme en l'espèce, entre un et trois ans, permettant le choix entre le sursis complet (art. 42 CP) et le sursis partiel (art. 43 CP), l'octroi du sursis au sens de l'art. 42 est la règle et le sursis partiel l'exception. Celui-ci ne doit être prononcé que si, sous l'angle de la prévention spéciale, l'octroi du sursis pour une partie de la peine ne peut se concevoir que moyennant exécution de l'autre partie (arrêts du Tribunal fédéral 6B_1044/2013 du 4 mars 2014 consid. 3.1 et 6B_664/2007 du 18 janvier 2008 consid. 3.2.3.1). Lorsqu'il existe - notamment en raison de condamnations antérieures -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«tout ou rien». Un pronostic défavorable, en revanche, exclut tant le sursis partiel que le sursis total (ATF 134 IV 1 consid. 5.3.1 p. 10 ; arrêt du Tribunal fédéral 6B_1044/2013 précité). Le rapport entre la partie ferme et avec sursis de la peine doit être fixé de telle manière que, d'une part, la probabilité d'un comportement futur de l'auteur conforme à la loi mais aussi sa culpabilité soient équitablement prises en compte. Le juge dispose à ce propos d'un large pouvoir d'appréciation (cf. ATF 134 IV 1 consid. 5.6 p. 15). 2.2.4 . Selon l'art. 48 let. e CP, le juge atténue la peine si l'intérêt à punir a sensiblement diminué en raison du temps écoulé depuis l'infraction et que l'auteur s'est bien comporté dans l'intervalle.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et que la prescription de l'action pénale est près d'être acquise. Cette condition est en tout cas réalisée lorsque les deux tiers du délai de prescription de l'action pénale sont écoulés. Le juge peut toutefois réduire ce délai pour tenir compte de la nature et de la gravité de l'infraction (ATF 132 IV 1 consid. 6.2 p. 2 ; arrêts du Tribunal fédéral 6B_14/2009 du 11 juin 2009 consid. 2.1. et 6B_646/2008 du 23 avril 2009 consid. 4.2.1). Le juge doit se référer à la date à laquelle les faits ont été souverainement établis, et non au jugement de premier instance. Ainsi, lorsque le condamné a fait appel et qu'en vertu de la procédure cantonale, ce recours a un effet dévolutif et suspensif, il faut prendre en considération le moment où le jugement de seconde instance a été rendu (ATF 132 IV 1 consid. 6.2.1 p. 4 ; arrêt du Tribunal fédéral 6B_10/2010 du 10 mai 2010 consid. 2.4). 2.2.5. L'art. 6 §1 de la Convention de sauvegarde des droits de l’homme et des libertés fondamentales du 4 novembre 1950 (CEDH - RS 0.101) prévoit que toute personne a droit à ce que sa cause soit entendue dans un délai raisonnable, cette garantie étant répétée aux art. 5 CPP et 29 al. 1 la Constitution fédérale de la Confédération suisse du 18 avril 1999 (Cst. - RS 101). Ces dispositions consacrent le principe de la célérité et prohibent le retard injustifié à statuer. Il s'agit d'une exigence à l'égard des autorités, qui se distingue de la prescription de l'action pénale, calculée à compter de la date de l'infraction, et de la circonstance atténuante du temps relativement long, liée à l'approche de la prescription et supposant que l'accusé se soit bien comporté dans l'intervalle (art. 48 let. e CP ; ATF 133 IV consid. 8 p. 170 et les références citées). L'autorité viole cette garantie lorsqu'elle ne rend pas une décision qu'il lui incombe de prendre dans le délai prescrit par la loi ou dans le délai que la nature de l'affaire et les circonstances font apparaître comme raisonnable (voir ATF 130 I 312 consid. 5.1 p. 331). Le caractère raisonnable du délai s'apprécie selon les circonstances particulières de la cause, eu égard notamment à la complexité de l'affaire, à l'enjeu du litige pour l'intéressé, à son comportement ainsi qu'à celui des autorités compétentes (ATF 135 I 265 consid. 4.4 p. 277 ; 130 I 312 consid. 5.1 p. 331). Une diminution de la peine ne peut entrer en ligne de compte qu'en cas de lacune crasse et avérée dans le déroulement de la procédure et le fait que certains actes aient pu être effectués plus rapidement ne suffit pas pour que soit admise une telle violation (arrêts du Tribunal fédéral 6B_590/2014 du 12 mars 2015 consid. 5.3 et 6B_473/2011 du 13 octobre 2011 consid. 4.2). Selon la jurisprudence, apparaissent comme des carences choquantes une inactivité de treize ou quatorze mois au stade de l'instruction, un délai de quatre ans pour qu'il soit statué sur un recours contre l'acte d'accusation ou encore un délai de dix ou onze mois pour que le dossier soit transmis à l'autorité de recours (ATF 130 IV 54 consid. 3.3.3 p. 56 s.).</w:t>
      </w:r>
    </w:p>
    <w:p>
      <w:r>
        <w:rPr>
          <w:b/>
        </w:rPr>
        <w:t>E. 2.3</w:t>
      </w:r>
    </w:p>
    <w:p>
      <w:r>
        <w:t>En l'espèce, la gravité certaine de la faute de l'appelant ne saurait être remise en question, tout en tenant compte d'une volonté délictuelle moindre s'agissant d'un acte unique et d'une situation de contrainte dont il s'est accommodé. Les conséquences en sont néanmoins dévastatrices sur la victime, sur le long terme. L'appelant a agi par pur égoïsme, pour assouvir ses fantasmes et pulsions sexuels, sans considération aucune pour la liberté et l'intégrité sexuelles de la victime âgée de 15 ans au moment des faits. Il y a concours d'infractions. Comme retenu à juste titre par les premiers juges, sa collaboration à la procédure est médiocre, compte tenu notamment de sa prétendue amnésie lors des débats de première instance, disant ne plus se rappeler les divers abus sexuels imposés à la victime, qui ne peut pas être justifiée par le seul écoulement du temps et le fait qu'il veuille " passer à autre chose dans la vie ". Sa prise de conscience est insuffisante dans la mesure où s'il semble comprendre les conséquences de son acte sur D______, quoique, n'en disant plus mot dans son mémoire d'appel qui ne tourne qu'autour de sa personne et de l'effet dévastateur que pourrait avoir l'exécution de six mois de peine privative de liberté, mais aucunement de sa faute. Même s'il n'apparaît pas avoir d'empathie envers sa victime, il a présenté ses excuses, s'abstenant toutefois de ne serait-ce que commencer à l'indemniser. Il n'a aucun antécédent, de sorte que la peine n'est pas influencée par ce facteur. Depuis l'époque des faits, soit bientôt six ans, l'appelant n'a eu aucun problème avec la justice pénale, exerce un travail, s'est inséré dans la société et mène une vie stable. La circonstance atténuante du temps écoulé n'a pas à être retenue, les deux tiers de la prescription étant encore éloignés (juin 2019, cf. art. 97 al. 1 let. b CP). En revanche, une diminution de peine en raison de la violation du principe de célérité doit être accordée en l'espèce, une succession de périodes particulièrement longues s'étant en effet écoulées entre les actes d'instruction, sans justification apparente. Il s'est ainsi écoulé sans acte d'enquête : -          9,5 mois entre août 2011 et juin 2012 ;![endif]&gt;![if&gt; -          5,5 mois entre juin et fin novembre 2012 ;![endif]&gt;![if&gt; -          6 mois entre fin novembre 2012 et le 23 mai 2013 ;![endif]&gt;![if&gt; -          plus de 4 mois entre l'envoi d'une CRI en France, rapidement exécutée, et l'audition en Suisse le 6 novembre 2013 du témoin concerné par cette demande d'entraide ;![endif]&gt;![if&gt; -          3 mois depuis cette date jusqu'à une audience de confrontation le 5 février 2014 ;![endif]&gt;![if&gt; -          plus de 3 mois entre l'avis de prochaine clôture et une ordonnance de refus de preuves du 21 mai 2014.![endif]&gt;![if&gt; La durée totale de la procédure de plus de 5 ans, pour un acte isolé commis à Genève, impliquant directement trois protagonistes seulement, est manifestement excessive. La peine fixée en première instance à 30 mois, loin d'être sévère comme le soutient l'appelant, devra néanmoins être ramenée à 24 mois pour tenir compte de la violation du principe de célérité et sera assortie du sursis total dont l'appelant remplit les conditions, étant rappelé qu'il constitue la règle. La durée du délai d'épreuve sera fixée à 3 ans, comme retenu en première instance, laquelle est adéquate et tient compte des éléments de la procédure. Le jugement entrepris sera réformé dans cette mesure.</w:t>
      </w:r>
    </w:p>
    <w:p>
      <w:r>
        <w:rPr>
          <w:b/>
        </w:rPr>
        <w:t>E. 3</w:t>
      </w:r>
    </w:p>
    <w:p>
      <w:r>
        <w:t>. Dans la mesure où l'appelant obtient gain de cause, les frais de la procédure d'appel seront laissés à charge de l'Etat (art. 428 CPP).</w:t>
      </w:r>
    </w:p>
    <w:p>
      <w:r>
        <w:rPr>
          <w:b/>
        </w:rPr>
        <w:t>E. 4</w:t>
      </w:r>
    </w:p>
    <w:p>
      <w:r>
        <w:t>. 4.1.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Au regard de ce qui précède, la CPAR est compétente, au sens de l'art. 135 al. 2 CPP, pour statuer sur l'activité postérieure à sa saisine, le 23 décembre 2014.</w:t>
      </w:r>
    </w:p>
    <w:p>
      <w:r>
        <w:rPr>
          <w:b/>
        </w:rPr>
        <w:t>E. 4.2</w:t>
      </w:r>
    </w:p>
    <w:p>
      <w:r>
        <w:t>L'indemnité est calculée selon le tarif horaire de CHF 200.- pour un chef d'étude, débours de l'étude inclus, hors TVA (art. 16 al. 1 du Règlement sur l'assistance juridique et l'indemnisation des conseils juridiques et défenseurs d'office en matière civile, administrative et pénale, du 28 juillet 2010 [RAJ ; RS E 2 05.04]). Seules les heures nécessaires sont retenues, l'appréciation du caractère nécessaire dépendant notamment de la nature, de l'importance et des difficultés de la cause, de la valeur litigieuse, de la qualité du travail fourni et du résultat obtenu (art. 16 al. 2 RAJ). La CPAR s'inspire des "Instructions relatives à l'établissement de l'état de frais" et de l' "Etat de frais standard – Mode d'emploi et modèle" émis en 2002 et 2004, dans un souci de rationalisation et de simplification, par le Service de l'assistance juridique, autrefois chargé de la taxation. En particulier, une indemnisation forfaitaire de 20% jusqu'à 30 heures d'activité consacrée aux conférences, audiences et autres actes de la procédure, ou 10% lorsque l'état de frais porte sur plus de 30 heures, est allouée pour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Le temps consacré aux recherches juridiques, sauf questions particulièrement pointues, n'est pas indemnisé, l'Etat ne devant pas assumer la charge financière de la formation de l'avocat stagiaire, laquelle incombe à son maître de stage, ou la formation continue de l'avocat breveté.</w:t>
      </w:r>
    </w:p>
    <w:p>
      <w:r>
        <w:rPr>
          <w:b/>
        </w:rPr>
        <w:t>E. 4.3</w:t>
      </w:r>
    </w:p>
    <w:p>
      <w:r>
        <w:t>Me B______ a été désignée défenseur d'office de l'appelant le 12 juin 2012. A teneur de sa note d'honoraires du 20 avril 2015, 19h10 d'activité concernent la procédure d'appel, à compter de la saisine de la CPAR le 23 décembre 2014. Les postes "réception et analyse du jugement motivé du TCO", "lecture et analyse de l'arrêt de la CPAR", "recherche juridique" et "déclaration d'appel" ne seront pas indemnisés dans la mesure où ces prestations entrent dans le forfait de sorte qu'il y a lieu de soustraire 4h15 d'activité de ces chefs. Les postes d'étude du dossier et de rédaction du mémoire d'appel seront réduits à 12h00 dans la mesure où la défense de l'appelant ne nécessitait pas de nouvelles recherches ou développements autres que ceux exposés précédemment. Par conséquent, l'état de frais sera admis à concurrence de 12h00, à raison de 1h10 d'activité de chef d'étude, et de 10h50 de collaboratrice, soit un montant de CHF 1'587.30. Il convient d'ajouter à ce montant l'indemnisation forfaitaire de 10%, dans la mesure où le total des heures taxées en première et seconde instance excèdera 30 heures à teneur de la note produite, soit CHF 158.75, ainsi que la TVA de CHF 139.70.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