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P/1009/2020 vom 23. Februar 2021</w:t>
      </w:r>
    </w:p>
    <w:p>
      <w:r>
        <w:t>GE Cour de justice, 2021-02-23, FR</w:t>
      </w:r>
    </w:p>
    <w:p>
      <w:r>
        <w:rPr>
          <w:b/>
        </w:rPr>
        <w:t xml:space="preserve">Quelle: </w:t>
      </w:r>
      <w:r>
        <w:t>https://mcp.opencaselaw.ch/entscheid/ge_gerichte_P_1009_2020</w:t>
      </w:r>
    </w:p>
    <w:p>
      <w:r>
        <w:t>FR: GE_GERICHTE P/1009/2020 du 23 février 2021</w:t>
      </w:r>
    </w:p>
    <w:p>
      <w:r>
        <w:t>IT: GE_GERICHTE P/1009/2020 del 23 febbraio 2021</w:t>
      </w:r>
    </w:p>
    <w:p>
      <w:pPr>
        <w:pStyle w:val="Heading2"/>
      </w:pPr>
      <w:r>
        <w:t>Regeste</w:t>
      </w:r>
    </w:p>
    <w:p>
      <w:r>
        <w:t>OPPOSITION(PROCÉDURE);DÉFAUT(CONTUMACE);RESTITUTION DU DÉLAI;COMPÉTENCE RATIONE MATERIAE | CPP.84; CPP.356</w:t>
      </w:r>
    </w:p>
    <w:p>
      <w:pPr>
        <w:pStyle w:val="Heading2"/>
      </w:pPr>
      <w:r>
        <w:t>Erwägungen</w:t>
      </w:r>
    </w:p>
    <w:p>
      <w:r>
        <w:rPr>
          <w:b/>
        </w:rPr>
        <w:t>E. 1</w:t>
      </w:r>
    </w:p>
    <w:p>
      <w:r>
        <w:t>L'acte de recours a été déposé selon les formes et délai prescrits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2</w:t>
      </w:r>
    </w:p>
    <w:p>
      <w:r>
        <w:t>Le Tribunal de police ne pouvait pas statuer autrement qu'il l'a fait, puisque le dossier n'établit pas que le recourant s'était fait excuser (ou s'était manifesté d'une autre façon) auprès de cette autorité avant le prononcé litigieux. En ce sens, aucune violation de l'art. 356 al. 4 n'est décelable, et le recours, en tant qu'il est expressément adressé à la Chambre de céans, ne peut qu'être rejeté (cf. ACPR/712/2020 du 7 octobre 2020). Il pouvait donc être traité d'emblée sans échange d'écritures ni débats (art. 390 al. 2 et 5 a contrario CPP).</w:t>
      </w:r>
    </w:p>
    <w:p>
      <w:r>
        <w:rPr>
          <w:b/>
        </w:rPr>
        <w:t>E. 3</w:t>
      </w:r>
    </w:p>
    <w:p>
      <w:r>
        <w:t>Cela étant, en guise de recours, le recourant a, en réalité, formé une demande de restitution d'un terme, au sens de l'art. 94 al. 1 et 5 CPP, puisqu'il excipe d'un « imprévu » (cf. ATF 143 I 284 consid. 1.2. p. 287 et ACPR/847/2020 du 24 novembre 2020 consid. 3 et la référence). La Chambre de céans, qui n'a pas la compétence de traiter pareille demande, transmettra la cause au Tribunal de police, pour qu'il statue (ACPR précité, ibid. ).</w:t>
      </w:r>
    </w:p>
    <w:p>
      <w:r>
        <w:rPr>
          <w:b/>
        </w:rPr>
        <w:t>E. 4</w:t>
      </w:r>
    </w:p>
    <w:p>
      <w:r>
        <w:t>Il se justifie de laisser les frais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