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P/10098/2018 vom 5. August 2019</w:t>
      </w:r>
    </w:p>
    <w:p>
      <w:r>
        <w:t>GE Cour de justice, 2019-08-05, FR</w:t>
      </w:r>
    </w:p>
    <w:p>
      <w:r>
        <w:rPr>
          <w:b/>
        </w:rPr>
        <w:t xml:space="preserve">Quelle: </w:t>
      </w:r>
      <w:r>
        <w:t>https://mcp.opencaselaw.ch/entscheid/ge_gerichte_P_10098_2018</w:t>
      </w:r>
    </w:p>
    <w:p>
      <w:r>
        <w:t>FR: GE_GERICHTE P/10098/2018 du 5 août 2019</w:t>
      </w:r>
    </w:p>
    <w:p>
      <w:r>
        <w:t>IT: GE_GERICHTE P/10098/2018 del 5 agosto 2019</w:t>
      </w:r>
    </w:p>
    <w:p>
      <w:pPr>
        <w:pStyle w:val="Heading2"/>
      </w:pPr>
      <w:r>
        <w:t>Regeste</w:t>
      </w:r>
    </w:p>
    <w:p>
      <w:r>
        <w:t>INFRACTION CONTRE LES DEVOIRS DE FONCTION | CP.285; CP.54; CP.51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2.1.2.1 L'art. 285 ch. 1 al. 1 CP réprime le comportement de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2.1.2.2. Selon la première variante de l'art. 285 ch. 1 CP, il n'est pas nécessaire que l'acte du fonctionnaire soit rendu totalement impossible: il suffit qu'il soit entravé de telle manière qu'il ne puisse être accompli comme prévu ou qu'il soit rendu plus difficile (ATF 133 IV 97 consid. 4.2). 2.1.2.3. La menace correspond à celle de l'art. 181 CP, même s'il n'est pas précisé qu'elle doit porter sur un dommage sérieux (arrêt du Tribunal fédéral 6B_257/2010 du 5 octobre 2010 consid. 5.1). Elle correspond à de la violence envers une personne ou une menace d'un dommage sérieux, ou une entrave de quelque autre manière dans sa liberté d'action qui l'aura obligée à faire, à ne pas faire ou à laisser faire un acte. 2.1.2.4. Par fonctionnaire on entend,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(art. 110 al. 3 CP). Le critère déterminant pour revêtir la qualité de fonctionnaire réside dans la nature officielle de la fonction confiée, à savoir l'accomplissement de tâches de droit public incombant au service public. La notion de fonctionnaire au sens de l'art. 110 al. 3 CP regroupe autant les fonctionnaires institutionnels que les personnes qui occupent une fonction d'agent de l'Etat. Les premiers sont les fonctionnaires au sens du droit public ainsi que les employés du service public. Quant aux seconds, il est indifférent de savoir sous quel statut juridique ils accomplissent des tâches au service de la collectivité. Le rapport peut être de droit public ou de droit privé. La fonction des tâches est bien plus déterminante. Si celles-ci consistent en la réalisation de tâches de droit public, alors lesdites activités sont officielles et la personne qui les accomplit est un fonctionnaire au sens du droit pénal. La notion d'autorité doit être définie de façon large. Elle comprend toutes les organisations qui accomplissent des tâches de droit public, indépendamment du fait qu'elles soient organisées selon le droit public ou le droit privé (ATF 141 IV 329 consid. 1.3 = JdT 2016 IV p. 145). 2.1.2.5. A teneur du règlement de l'établissement concordataire de détention administrative J______ du 8 avril 2004 (RS GE F.2.12.08), ce dernier est affecté à l'exécution de la détention administrative des étrangers, telle que prévu dans la loi fédérale sur les étrangers et l'intégration (LEI - RS 142.20). 2.2.1. L'établissement concordataire de détention administrative J______ est affecté exclusivement à l'exécution de la détention administrative des étrangers conformément à la LEI. Au sens du droit pénal, cet établissement accomplit des tâches de droit public. Lors de leur intervention afin de calmer l'appelant et l'empêcher de projeter de l'eau brûlante, les plaignants assuraient la sécurité au sein J______ afin que la détention administrative soit exécutée adéquatement ; ils réalisaient dès lors une tâche de droit public et doivent être qualifiés de fonctionnaires au sens du droit pénal. 2.2.2. Il est établi que lorsqu'il se trouvait dans le " lieu de vie ", l'appelant a jeté sur le sol des ustensiles de cuisine, raison pour laquelle l'intimé D______ est intervenu. Après avoir retiré une casserole d'eau fumante du feu, l'appelant a jeté une partie de son contenu en direction du gardien afin de le garder à distance, sans que l'eau ne l'atteigne. En agissant de cette manière, l'appelant l'a donc menacé d'un dommage sérieux, à savoir d'être atteint par le reste de l'eau bouillante s'il s'approchait davantage. Il ne s'agit pas d'une simple désobéissance, au contraire, il a empêché le gardien d'intervenir pour faire cesser un comportement contraire aux règles de vie dans l'établissement et susceptible d'augmenter en gravité dès lors qu'il manipulait une casserole d'eau bouillante en étant très énervé et excité. En ce qui concerne la séquence suivante, les gardiens entendus s'accordent tous pour dire que le geste de l'appelant visant à jeter l'eau bouillante voire très chaude sur l'intimé E______ était volontaire. Des divergences dans leurs déclarations sont à relever néanmoins de sorte qu'un doute demeure. L'appelant a contesté avec constance avoir intentionnellement jeté l'eau sur le gardien. Même si sa version a quelque peu varié, il est crédible à la lumière des images que lorsque les gardiens ont tenté de maîtriser l'appelant, l'eau s'est accidentellement versée sur l'intimé E______. Dans la mesure où un doute persiste, l'état de fait le plus favorable à l'appelant sera retenu, soit qu'il a accidentellement renversé l'eau sur le gardien. Cependant, l'appelant a quitté le " lieu de vie ", toujours dans un état d'énervement élevé, avec la casserole d'eau très chaude à la main, continuant ainsi d'empêcher les gardiens d'agir, notamment l'intimé E______, sous la menace d'être brûlés et acceptant le risque de renverser cette casserole sur quelqu'un, agissant à tout le moins par dol éventuel. Les gardiens ont été contraints d'intervenir en nombre et de le suivre pour le maîtriser ou du moins le contenir, étant rappelé qu'il adoptait un comportement dangereux, se déplaçant, dans l'état précité, une casserole d'eau très chaude à la main après en avoir renversé une partie, alors qu'elle était encore fumante, en direction de l'un d'eux. Ainsi, tant les éléments objectifs que subjectifs de l'infraction de violence ou menace contre les autorités ou fonctionnaires sont réalisés tant à l'encontre de l'intimé D______ que de l'intimé E______. Le verdict de culpabilité retenu par le premier juge sera ainsi confirmé.</w:t>
      </w:r>
    </w:p>
    <w:p>
      <w:r>
        <w:rPr>
          <w:b/>
        </w:rPr>
        <w:t>E. 3</w:t>
      </w:r>
    </w:p>
    <w:p>
      <w:r>
        <w:t>3.1. 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w:t>
      </w:r>
    </w:p>
    <w:p>
      <w:r>
        <w:rPr>
          <w:b/>
        </w:rPr>
        <w:t>E. 3.2</w:t>
      </w:r>
    </w:p>
    <w:p>
      <w:r>
        <w:t>Il ressort du dossier qu'en endommageant sa cellule, le 26 février 2018, l'appelant s'est blessé. Indépendamment de sa faute qui ne peut être qualifiée de légère, ses blessures ne sont pas suffisantes pour justifier une exemption de peine d'autant plus qu'il semble s'être automutilé de sorte que ses blessures ne sauraient être une conséquence directe de l'infraction. Les sanctions administratives, qu'elles soient licites ou non, doivent être qualifiées de conséquences indirectes de son acte de sorte que l'appelant ne bénéficiera d'aucune exemption de peine, d'autant qu'elles visent un but différent, soit assurer le respect des règles régissant la vie au sein de l'établissement indépendamment des interdits pénaux.</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144 IV 217 consid. 3.5.4 ; 144 IV 313 consid. 1.1.2). 4.1.3.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4.2.1. En l'espèce, la faute de l'appelant n'est pas négligeable. Il a menacé et usé de violence contre des gardiens par colère et a pris le risque de les blesser grièvement. Il a détruit une cellule par pure frustration sans égard aux conséquences financières significatives. Malgré ses excuses, l'appelant ne semble pas avoir pris conscience de la gravité de ses actes. Il n'a cessé de contester l'infraction à l'encontre de l'intimé E______ et s'est placé en victime. Sa collaboration doit être considérée comme mauvaise. Sa responsabilité est pleine et entière et aucune circonstance atténuante ne peut être retenue. L'appelant a déjà été condamné peu avant les faits pour plusieurs infractions à une peine privative de liberté de sept mois avec sursis et un délai d'épreuve de quatre ans pour des faits partiellement spécifiques, à savoir une infraction à l'art. 144 CP. Une peine avec sursis n'entre pas en ligne de compte (art. 42 al. 2 CP). Au vu des éléments qui précèdent, l'infraction à l'art. 285 CP justifie le prononcé d'une peine privative de liberté hypothétique de quatre mois. A cette peine s'ajoutera une peine privative de liberté d'un mois pour tenir compte du concours avec l'infraction à l'art. 144 CP, d'où une peine d'ensemble de cinq mois. L'appel sera donc très partiellement admis dans cette mesure et le jugement de première instance réformé sur ce point. 4.2.2. Compte tenu des antécédents de l'appelant et de l'absence de prise de conscience, seule une peine privative de liberté paraît à même d'avoir un effet dissuasif sur lui. Par surabondance, il est relevéque l'appelant est sans ressources et dépourvu de toute perspective d'obtenir un revenu régulier, il n'est pas crédible qu'une peine pécuniaire puisse être exécutée, le montant de CHF 400.- cumulé sur son compte à M______ étant insuffisant au regard de la quotité de la peine. Dès lors, seule une peine privative de liberté pourra être prononcée.</w:t>
      </w:r>
    </w:p>
    <w:p>
      <w:r>
        <w:rPr>
          <w:b/>
        </w:rPr>
        <w:t>E. 5</w:t>
      </w:r>
    </w:p>
    <w:p>
      <w:r>
        <w:t>5.1.1. Selon l'art. 110 al. 6 CP, le jour est compté à raison de vingt-quatre heures consécutives. Le mois et l'année sont comptés de quantième en quantième. 5.1.2. 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La détention avant jugement doit être imputée sur la peine, indépendamment du fait que celle-ci soit assortie du sursis ou non et qu'il s'agisse d'une peine pécuniaire ou privative de liberté. La question de l'indemnisation d'une détention injustifiée ne se pose en principe que si une imputation suffisante de cette détention sur une autre sanction au sens de l'art. 51 CP n'est plus possible. L'indemnisation financière est ainsi subsidiaire à l'imputation. L'intéressé n'a pas le droit de choisir entre ces deux voies (ATF 141 IV 236 consid. 3.3 ; arrêt du Tribunal fédéral 6B_671/2016 du 17 mai 2017 consid. 1.1).</w:t>
      </w:r>
    </w:p>
    <w:p>
      <w:r>
        <w:rPr>
          <w:b/>
        </w:rPr>
        <w:t>E. 5.2</w:t>
      </w:r>
    </w:p>
    <w:p>
      <w:r>
        <w:t>En l'espèce, l'appelant a été détenu dès le 9 juillet 2018 et aurait dû être libéré après cinq mois de détention, à savoir le 9 décembre 2018. Dans la mesure où il a été libéré le 8 janvier 2019, il a effectué 30 jours de détention en trop. L'appelant ayant été condamné le 10 janvier 2018 a une peine privative de liberté de sept mois avec sursis, il convient, plutôt qu'une indemnisation subsidiaire, d'imputer les 30 jours de détention subis en trop sur la peine précitée. Au vu de ce qui précède, l'appelant doit être débouté de ses conclusions en indemnisation de la détention subie à tort.</w:t>
      </w:r>
    </w:p>
    <w:p>
      <w:r>
        <w:rPr>
          <w:b/>
        </w:rPr>
        <w:t>E. 6</w:t>
      </w:r>
    </w:p>
    <w:p>
      <w:r>
        <w:t>Eu égard au verdict de culpabilité rendu à son encontre, le jugement entrepris sera confirmé en tant qu'il condamne l'appelant à payer à l'ETAT DE GENÈVE, la somme de CHF 3'734.90 correspondant à la réparation du dommage matériel.</w:t>
      </w:r>
    </w:p>
    <w:p>
      <w:r>
        <w:rPr>
          <w:b/>
        </w:rPr>
        <w:t>E. 7</w:t>
      </w:r>
    </w:p>
    <w:p>
      <w:r>
        <w:t>1. Aux termes de l'art. 426 al. 1 CPP, le prévenu supporte les frais de procédure de première instance s'il est condamné. Selon l'art. 428 al. 1 CPP, les frais de la procédure d'appel sont mis à la charge des parties dans la mesure où elles succombent. Pour déterminer si une partie obtient gain de cause ou non, il faut examiner dans quelle mesure ses conclusions sont admises en deuxième instance.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consid. 4.1). 7.2.1. En l'espèce, au vu de la confirmation du verdict de culpabilité, l'intégralité des frais de première instance demeureront à la charge de l'appelant. 7.2.2. L'appel étant que très partiellement admis, l'appelant supportera trois quarts des frais de procédure d'appel.</w:t>
      </w:r>
    </w:p>
    <w:p>
      <w:r>
        <w:rPr>
          <w:b/>
        </w:rPr>
        <w:t>E. 8</w:t>
      </w:r>
    </w:p>
    <w:p>
      <w:r>
        <w:t>8.1.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de CHF 150.- pour un collaborateur (let. b).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collaborateurs, dite rémunération étant allouée d'office par la juridiction d'appel pour les débats devant elle.</w:t>
      </w:r>
    </w:p>
    <w:p>
      <w:r>
        <w:rPr>
          <w:b/>
        </w:rPr>
        <w:t>E. 8.4</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w:t>
      </w:r>
    </w:p>
    <w:p>
      <w:r>
        <w:rPr>
          <w:b/>
        </w:rPr>
        <w:t>E. 8.5</w:t>
      </w:r>
    </w:p>
    <w:p>
      <w:r>
        <w:t>Compte tenu de ce qui précède, il convient de retrancher de la note de frais déposée 1h30 pour la visite postérieure à l'audience d'appel. Doivent également être soustraits de l'état de frais, 2h20 consacrées à des activités déjà couvertes par l'indemnité forfaitaire (annonce d'appel, déclaration d'appel, lecture de décisions, préparation des conclusions en indemnisation). La durée de la préparation de l'audience du 11 juin 2019 paraît excessive dans la mesure où le dossier était censé bien connu de l'avocate qui venait de le plaider en première instance. Elle sera dès lors ramenée à 6h00. Le total horaire pris en compte s'élève donc à 12h13 comprenant l'audience d'appel d'une durée de 1h23. A cela s'ajoute une vacation à CHF 75.-, le 10% forfaitaire, compte tenu de l'activité totale réalisée jusqu'ici de plus de 30 heures, et la TVA, de même que les frais d'interprète de CHF 100.-. En conclusion, l'indemnité sera arrêtée à CHF 2'345.95,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