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P/10064/2020 vom 10. Mai 2023</w:t>
      </w:r>
    </w:p>
    <w:p>
      <w:r>
        <w:t>GE Cour de justice, 2023-05-10, FR</w:t>
      </w:r>
    </w:p>
    <w:p>
      <w:r>
        <w:rPr>
          <w:b/>
        </w:rPr>
        <w:t xml:space="preserve">Quelle: </w:t>
      </w:r>
      <w:r>
        <w:t>https://mcp.opencaselaw.ch/entscheid/ge_gerichte_P_10064_2020</w:t>
      </w:r>
    </w:p>
    <w:p>
      <w:r>
        <w:t>FR: GE_GERICHTE P/10064/2020 du 10 mai 2023</w:t>
      </w:r>
    </w:p>
    <w:p>
      <w:r>
        <w:t>IT: GE_GERICHTE P/10064/2020 del 10 maggio 2023</w:t>
      </w:r>
    </w:p>
    <w:p>
      <w:pPr>
        <w:pStyle w:val="Heading2"/>
      </w:pPr>
      <w:r>
        <w:t>Regeste</w:t>
      </w:r>
    </w:p>
    <w:p>
      <w:r>
        <w:t>PORNOGRAPHIE DURE;FIXATION DE LA PEINE;TRAITEMENT AMBULATOIRE;SUSPENSION DE L'EXÉCUTION DE LA PEINE;CONFISCATION(DROIT PÉNAL) | CP.197.al5; CP.47; CP.42.al1; CP.44.al1; CP.51; CP.56; CP.63.al1; CP.63.al2; CP.69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L'infraction de pornographie (art. 197 al. 5 CP) est passible d'une peine privative de liberté de cinq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La loi présume l'existence d'un pronostic favorable et cette présomption doit être renversée par le juge pour exclure le sursis, étant précisé qu'en cas d'incertitude le sursis prime (M. DUPUIS / L. MOREILLON / C. PIGUET / S. BERGER / M. MAZOU / V. RODIGARI [éds], Code pénal – Petit commentaire , 2 ème éd., Bâle 2017, n. 9 ad art. 42).</w:t>
      </w:r>
    </w:p>
    <w:p>
      <w:r>
        <w:rPr>
          <w:b/>
        </w:rPr>
        <w:t>E. 2.4</w:t>
      </w:r>
    </w:p>
    <w:p>
      <w:r>
        <w:t>Si le juge suspend totalement ou partiellement l'exécution d'une peine, il impartit un délai d'épreuve de deux à cinq ans (art. 42 al. 1 cum art. 44 al. 1 CP). Le juge qui suspend l'exécution de la peine peut ordonner une assistance de probation et imposer des règles de conduite pour la durée du délai d'épreuve (art. 44 al. 2 CP). La loi prévoit expressément que la règle de conduite peut porter sur des soins médicaux ou psychologiques (art. 94 CP ; arrêt du Tribunal fédéral 6B_1339/2016 du 23 mars 2017 consid. 1.1.2).</w:t>
      </w:r>
    </w:p>
    <w:p>
      <w:r>
        <w:rPr>
          <w:b/>
        </w:rPr>
        <w:t>E. 2.5</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arrêt du Tribunal fédéral 6B_1227/2015 du 29 juillet 2016 consid. 1.2.4).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6B_1048/2010 du 11 juin 2011 consid. 6.2 ; 6B_1227/2015 du 29 juillet 2016 consid. 1.2.2). 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(arrêt du Tribunal fédéral 6B_1227/2015 du 29 juillet 2016 consid. 1.4.1).</w:t>
      </w:r>
    </w:p>
    <w:p>
      <w:r>
        <w:rPr>
          <w:b/>
        </w:rPr>
        <w:t>E. 2.6</w:t>
      </w:r>
    </w:p>
    <w:p>
      <w:r>
        <w:t>Aux termes de l'art. 51 CP, le juge impute sur la peine la détention avant jugement subie par l'auteur dans le cadre de l'affaire qui vient d'être jugée ou d'une autre procédure. La détention avant jugement doit être imputée sur la peine, indépendamment du fait que celle-ci soit assortie du sursis ou non et qu'il s'agisse d'une peine pécuniaire ou privative de liberté (ATF 141 IV 236 consid. 3.3 p. 239 ; 135 IV 126 consid. 1.3.6 p. 129).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w:t>
      </w:r>
    </w:p>
    <w:p>
      <w:r>
        <w:rPr>
          <w:b/>
        </w:rPr>
        <w:t>E. 2.7</w:t>
      </w:r>
    </w:p>
    <w:p>
      <w:r>
        <w:t>En application de l'art. 19 al. 2 CP, le juge atténue la peine si, au moment d'agir, l'auteur ne possédait que partiellement la faculté d'apprécier le caractère illicite de son acte ou de se déterminer d'après cette appréciation. 2.8.1. La faute de l'appelant est grave. Il a, d'une part, cherché à se procurer, téléchargé, consulté et stocké des centaines d'images à caractère pédopornographique et, d'autre part, activement commenté de telles données sur des sites internet, de même que conversé avec des jeunes filles mineures sur internet en usant de propos particulièrement violents et choquants, dont certains visaient sa propre fille, agissant à maintes reprises durant une période pénale d'un an et demi, de fin 2018 à mi-2020. Ce faisant, il a porté atteinte à des biens juridiques tels que la dignité humaine et la protection de la jeunesse, en particulier des acteurs-victimes, sans égard pour ces derniers. Sa collaboration à la procédure a été mauvaise. S'il a certes d'emblée reconnu la détention d'images à caractère pédopornographique lorsqu'il a été interpellé, il ne pouvait que difficilement agir autrement puisqu'il savait pertinemment que le matériel électronique qui se trouvait à son domicile et sur lequel étaient stockées ces données avait été saisi et allait être examiné par la police. Il n'a pas fourni d'indications spécifiques qui auraient permis de découvrir davantage de contenu illicite que ce que la police a pu retrouver dans les appareils saisis. Durant toute la procédure, l'appelant a tenté de minimiser sa responsabilité dans les faits incriminés et de les justifier par des motifs honorables en affirmant que la consultation et la détention d'images pédopornographiques ainsi que les commentaires et les messages retrouvés dans ses appareils électroniques s'inscrivaient dans une lutte visant à piéger des pédocriminels en se faisant passer pour l'un d'entre eux. Après de multiples dénégations, l'appelant a fini par reconnaître son attirance pour les enfants au stade des débats de première instance, tout en la minimisant néanmoins en affirmant ne pas avoir été particulièrement excité par les images pédopornographiques. En dépit du rapport de suivi psychologique établi avant les débats de première instance, dont il ressort qu'il avait finalement reconnu le caractère illicite et illicite de ses actes, l'appelant a persisté, devant le TP, à justifier en grande partie ses actes par une lutte contre les pédophiles, ce qui ne permet pas de considérer que sa prise de conscience serait autre que tout juste ébauchée. En dehors d'affirmer avoir lui-même été lourdement impacté par la procédure et avoir subi les conséquences négatives de celle-ci, l'appelant ne démontre toujours pas, au stade de l'appel, qu'il aurait désormais réellement mesuré la gravité de ses actes, considérant au contraire que l'importance de sa faute devrait être relativisée dans la mesure où il n'aurait pas commis d'acte violent. Il ne peut ainsi qu'être constaté que le suivi psychothérapeutique mis en place depuis septembre 2020 n'a pas encore eu d'effets majeurs sur sa prise de conscience. Son mobile, soit l'assouvissement de ses pulsions sexuelles, est purement égoïste. Sa situation personnelle, sans particularité, n'explique ni ne justifie ses actes. À sa décharge, il convient de retenir qu'il a agi alors que sa responsabilité était faiblement restreinte. L'absence d'antécédent en Suisse est un facteur neutre s'agissant de la fixation de la peine et sa condamnation en France, en lien avec des faits non spécifiques, n'est pas pertinente en l'espèce. 2.8.2. L'importance de la faute de l'appelant, en particulier sous l'angle de la gravité de ses actes et de la récurrence de ceux-ci, commande le prononcé d'une peine supérieure à 180 unités pénales. Seule une peine privative de liberté entre par conséquent en considération en l'espèce, la quotité de huit mois fixée par le premier juge apparaissant adéquate compte tenu des éléments qui précèdent. Elle sera par ailleurs propre à remplir son rôle de prévention spéciale. 2.8.3. Vu la prise de conscience minime de l'appelant et, selon l'expertise, l'existence d'un risque de récidive moyen s'agissant de faits en lien avec la pornographie, le pronostic quant à son comportement futur est défavorable. Comme évoqué supra ( cf . consid. 2.8.1), rien ne permet de considérer que le degré de prise de conscience de l'appelant se serait amélioré depuis l'expertise ou l'audience de première instance, alors même qu'il se soumet à la psychothérapie préconisée depuis 2020. La poursuite du suivi du traitement ambulatoire ne diminuerait ainsi manifestement pas suffisamment le risque que l'appelant commette de nouvelles infractions spécifiques sur le court terme. Cette constatation est corroborée par les conclusions de l'expert, selon lesquelles le traitement devrait en effet être mené sur une longue période estimée à cinq ans pour aboutir à une diminution du risque de récidive, et ce à la condition que l'appelant continue d'y adhérer. Par conséquent, la peine privative de liberté prononcée à l'encontre de l'appelant ne sera pas assortie du sursis. 2.8.4. La détention avant jugement subie du 11 juin au 3 juillet 2020, sera déduite de la peine prononcée à hauteur de 23 jours. Les mesures de substitution dont il fait l'objet depuis le 4 juillet 2020 devront quant à elles être déduites à hauteur de 15% pour tenir compte de l'interdiction faite à l'appelant durant un peu plus d'un an de prendre contact avec sa fille et son épouse, les restrictions et obligations n'ayant quoi qu'il en soit de manière générale porté qu'une atteinte mineure à sa liberté personnelle en comparaison avec la détention provisoire.</w:t>
      </w:r>
    </w:p>
    <w:p>
      <w:r>
        <w:rPr>
          <w:b/>
        </w:rPr>
        <w:t>E. 3</w:t>
      </w:r>
    </w:p>
    <w:p>
      <w:r>
        <w:t>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3.2.1.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 cf .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(arrêt du tribunal fédéral 6B_1130/2018 du 15 novembre 2018 consid. 1.1 ; ATF 143 IV 445 consid. 2.2 p. 447 ; ATF 141 IV 236 consid. 3.5 p. 240 ; ATF 141 IV 49 consid. 2.1 p. 51 s.). 3.2.2.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(ATF 129 IV 161 consid. 4.1 et 4.3 p. 162 ss ; en application du nouveau droit : voir arrêts du Tribunal fédéral 6B_1150/2014 du 19 novembre 2015 consid. 3.2.2 et 6B_335/2012 du 13 août 2012 consid. 2.1). La suspension de la peine revêt un caractère exceptionnel (arrêt du Tribunal fédéral 6B_222/2012 du 8 octobre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arrêts du Tribunal fédéral 6B_992/2017 du 11 décembre 2017 consid. 2.1.2 ; 6B_53/2017 du 2 mai 2017 consid. 1.3). 3.3.1. Au moment des faits et encore lors de l'établissement du rapport d'expertise du 15 mars 2021, dont il n'y a pas lieu de s'écarter, l'appelant souffrait d'un grave trouble mental en rapport avec les actes commis et présentait un risque de récidive d'infractions de même type, lequel était susceptible d'être contenu par une prise en charge psychiatrique ambulatoire, à laquelle il ne s'est pas opposé. L'appelant ne conteste pas ces conclusions, pas plus qu'il ne soutient qu'elles ne seraient plus d'actualité. Le prononcé de la mesure ambulatoire préconisée par l'expert, à savoir une prise en charge psychothérapeutique sexologique sur le long terme visant à travailler sur son attirance sexuelle déviante ainsi que sur la gestion de ses pulsions et fantasmes sexuels, se justifie pleinement au regard des éléments qui précèdent et sera, partant, confirmé. 3.3.2. Aux dires de l'expert psychiatre, le suivi du traitement ambulatoire préconisé par l'appelant serait compatible avec l'exécution d'une peine privative de liberté, aucun élément du dossier ne permettant d'aboutir à une conclusion contraire. Même si l'appelant a toujours adhéré à la mise en place de la psychothérapie recommandée, entrepris de se soumettre à un tel suivi depuis septembre 2020 et fait preuve d'engagement, ce que la Cour relève, il ne peut être ignoré que cette démarche avait été rendue obligatoire par le prononcé, en juillet 2020, des mesures de substitution contraignantes à l'égard de l'appelant. Bien que, les conditions permettant l'octroi de la suspension de la peine en faveur de la mesure ordonnée n'apparaissent manifestement pas remplies, l'interdiction de la reformatio in pejus commande sa confirmation.</w:t>
      </w:r>
    </w:p>
    <w:p>
      <w:r>
        <w:rPr>
          <w:b/>
        </w:rPr>
        <w:t>E. 4</w:t>
      </w:r>
    </w:p>
    <w:p>
      <w:r>
        <w:t>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le morale ou l'ordre public. Le juge peut ordonner que les objets confisqués soit mis hors d'usage ou détruits. 4.1.2.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de la Constitution fédérale de la Confédération suisse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p. 255 s. ; arrêts du Tribunal fédéral 6B_35/2017 du 26 février 2018 consid. 9.1).</w:t>
      </w:r>
    </w:p>
    <w:p>
      <w:r>
        <w:rPr>
          <w:b/>
        </w:rPr>
        <w:t>E. 4.2</w:t>
      </w:r>
    </w:p>
    <w:p>
      <w:r>
        <w:t>L'appelant sollicite la restitution des objets figurant aux chiffres 2 à 7 et 9 à 16 de l'inventaire n° 1______ du 11 juin 2020, lesquels n'ont pas fait l'objet d'extractions et d'analyses, si bien que leur contenu demeure inconnu. Cela étant, compte tenu du nombre élevé d'images à caractère pédopornographique retrouvées dans les quelques appareils analysés, soit le téléphone [de marque] K______, la clé USB [de marque] X______ et la tour d'ordinateur, il ne peut raisonnablement être exclu que de telles données aient été téléchargées, manuellement ou par le biais de la transmission automatique entre les appareils, sur les objets dont l'appelant sollicite la restitution. Il en va de même des appareils photo saisis en lien avec les prises de vues retrouvées dans le téléphone de l'appelant. Il existe en outre un risque sérieux que ces objets servent la commission d'infractions de même nature dans l'hypothèse où ils seraient restitués à l'appelant, eu égard notamment à son niveau de prise de conscience, et que la sécurité des personnes, la morale et l'ordre public soient compromis. Par conséquent, la confiscation de la totalité des biens saisis sera confirmée.</w:t>
      </w:r>
    </w:p>
    <w:p>
      <w:r>
        <w:rPr>
          <w:b/>
        </w:rPr>
        <w:t>E. 5</w:t>
      </w:r>
    </w:p>
    <w:p>
      <w:r>
        <w:t>L'appelant, qui succombe entièrement, supportera les frais de la procédure envers l'État, y compris un émolument de jugement de CHF 1'500.- (art. 428 CPP). Il n'y a pas lieu de revoir les frais de première instance (art. 426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L'état de frais déposé par M e B______ apparaît excessif compte tenu de la jurisprudence susmentionnée. Une heure et 15 minutes d'entretien client sera retenue au tarif horaire du chef d'étude en lieu et place des trois heures et 15 minutes réclamées, durée suffisante pour préparer la procédure d'appel dans un dossier déjà bien connu pour avoir été plaidé moins de quatre mois auparavant. Il n'y a pas lieu d'indemniser le temps consacré par l'avocat collaborateur au même entretien, l'intervention de deux conseils n'étant pas nécessaire en l'espèce. Le temps consacré à la rédaction du mémoire d'appel sera quant à lui ramené à sept heures d'activité d'avocat stagiaire, étude du dossier comprise, et une heure d'activité de collaborateur, l'assistance judiciaire n'ayant pas pour vocation d'indemniser la formation des avocats stagiaires. En conclusion, la rémunération sera arrêtée à CHF 1'608.25 correspondant à une heure et 15 minutes d'activité de chef d'étude à CHF 200.-/heure (CHF 250.-), deux heures et 15 minutes d'activité de collaborateur à CHF 150.-/heure (CHF 337.50) et sept heure d'activité d'avocat stagiaire au tarif de CHF 110.-/heure (CHF 770.-) plus la majoration forfaitaire de 10% (CHF 135.75) et l'équivalent de la TVA au taux de 7.7% en CHF 115.-.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