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P/10038/2011 vom 23. Februar 2017</w:t>
      </w:r>
    </w:p>
    <w:p>
      <w:r>
        <w:t>GE Cour de justice, 2017-02-23, FR</w:t>
      </w:r>
    </w:p>
    <w:p>
      <w:r>
        <w:rPr>
          <w:b/>
        </w:rPr>
        <w:t xml:space="preserve">Quelle: </w:t>
      </w:r>
      <w:r>
        <w:t>https://mcp.opencaselaw.ch/entscheid/ge_gerichte_P_10038_2011</w:t>
      </w:r>
    </w:p>
    <w:p>
      <w:r>
        <w:t>FR: GE_GERICHTE P/10038/2011 du 23 février 2017</w:t>
      </w:r>
    </w:p>
    <w:p>
      <w:r>
        <w:t>IT: GE_GERICHTE P/10038/2011 del 23 febbraio 2017</w:t>
      </w:r>
    </w:p>
    <w:p>
      <w:pPr>
        <w:pStyle w:val="Heading2"/>
      </w:pPr>
      <w:r>
        <w:t>Regeste</w:t>
      </w:r>
    </w:p>
    <w:p>
      <w:r>
        <w:t>IN DUBIO PRO REO ; ABUS DE CONFIANCE ; CONTRAT FIDUCIAIRE ; BANQUE ; SOCIÉTÉ DE DOMICILE ; DÉPENS | CP.138.1.2; CPP.126; CPP.428; CPP.429; CPP.433</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 l'abus de confiance n'entre pas ici en considération. La décision des premiers juges sera également confirmée sur ce point. - Dans son acte d'accusation (p. 9 à 11, par. 1 à 4), le MP retient, comme troisième comportement constitutif d'abus de confiance, le fait que l'intimé ait disposé sans droit, en 2008 et 2009, à son profit ou au profit de tiers, d'USD 30'320'000.- appartenant au plaignant et qui lui avaient été confiés. Dans son mémoire d'appel, le MP a admis le raisonnement des premiers juges, selon lequel l'intimé n'avait pas pu s'approprier les USD 7'300'000.- qui lui avaient été confiés par le plaignant en 2000/2001, provenant de sa fortune personnelle, compte tenu des nombreux prêts octroyés à diverses sociétés, notamment au moyen de ces fonds, au fil des années, jusqu'en 2008. La CPAR partage cette analyse. Au surplus, la CPAR a retenu, comme les premiers juges, que les USD 23'000'000.- provenant de AQ______ en 2004 n'avaient pas été confiés à l'intimé, en raison du doute subsistant sur l'origine des fonds et, par conséquent, l'identité de leur ayant droit économique. Ainsi, même si les explications fournies par l'intimé au sujet des débits opérés à fin 2008 et en 2009 sur le sous-compte 1______/8______ de F______ ne sont guère crédibles, trois des témoins, il est vrai anciens subordonnés du plaignant chez N______ à T______, ayant exprimé leur conviction que l'intimé " avait volé l'argent du plaignant ", un abus de confiance ne peut être retenu. En conclusion, l'acquittement prononcé en première instance sera confirmé, ce qui dispense la juridiction d'appel d'examiner si les faits poursuivis peuvent aussi être qualifiés de blanchiment d'argent.</w:t>
      </w:r>
    </w:p>
    <w:p>
      <w:r>
        <w:rPr>
          <w:b/>
        </w:rPr>
        <w:t>E. 2.3</w:t>
      </w:r>
    </w:p>
    <w:p>
      <w:r>
        <w:t>L'acte d'accusation du MP retient qu'en février/mars 2000, le plaignant et l'intimé ont conclu oralement un contrat de fiducie, aux termes duquel le premier aurait confié au second une partie de son importante fortune aux fins de la conserver et de la gérer selon ses instructions. - Les deux hommes ont fait connaissance en 1995/1996, alors que le plaignant avait l'intention d'investir de l'argent en Y______, où il avait ouvert diverses relations bancaires, alors que l'intimé était domicilié dans ce pays. Selon le plaignant, dont les déclarations sont confirmées par plusieurs témoins, M e AE______, BG______ et CJ______, l'intimé lui avait tout d'abord servi d'interprète en langue anglaise, puis une relation amicale et de confiance s'était établie entre eux. En 1999, le plaignant avait notamment octroyé un prêt personnel à l'intimé, ce que celui-ci admet. Une collaboration avait débuté dans le cadre de diverses affaires. En 2000, les banques avaient décidé de clôturer les comptes détenus par des ressortissants M______, ce qui est confirmé non seulement par M e AE______, avocat du plaignant, mais aussi par un courrier de la X______ du 5 octobre 1999 figurant à la procédure. Début 2000, une réunion avait eu lieu entre le plaignant, M e AE______ et l'intimé pour trouver une solution à cette situation. L'intimé avait proposé au plaignant de transférer ses avoirs, notamment détenus à la X______ et à la AC______, sur le compte 1______ d'une société F______, qui lui appartenait, auprès de la E______ à Genève. Il est établi que cette relation était composée de plusieurs sous-comptes, par monnaie. Alors que le plaignant soutient que les sous-comptes 8______, 9______ et 10______ avaient été mis à son unique disposition, l'intimé admet que le plaignant pouvait utiliser le sous-compte 8______, mais de manière non exclusive. CJ______ a indiqué que l'intimé lui avait fait la même proposition, néanmoins déclinée. Le 27 mars 2000, le plaignant et l'intimé s'étaient rendus au G______ à AN______, où ils avaient ouvert un compte 7______ au nom de F______, dont l'ayant droit économique était le plaignant, comme en témoignent la formule A et les déclarations de CK______ et CL______, alors collaborateurs de la banque. Ces derniers ont précisé qu'en 2000/2001 et 2004, le plaignant n'avait plus voulu apparaître comme ayant droit vis-à-vis de la banque. Les allégations de l'intimé, selon lesquelles il aurait été l'ayant droit des avoirs se trouvant sur ce compte ne trouvent pas d'appui dans la procédure. Le 28 mars 2000, les deux hommes s'étaient rendus à la E______ à Genève, où un pouvoir de signature avait été donné au plaignant sur le compte général de F______, dont il est admis que l'intimé figure comme ayant droit économique sur les formulaires A. La mise en place d'une telle structure ne se comprend que si le plaignant, qui ne voulait plus apparaître en son nom, avait accepté la proposition de l'intimé de déposer ses fonds sur l'un au moins des sous-comptes du compte 1______ de F______, ce que confirment notamment les versements opérés en avril 2000 à hauteur de USD 6'300'000.-, dont il sera question ci-dessous. Les déclarations du plaignant et des témoins susmentionnés permettent aussi de retenir que le premier donnait à BG______, M e AE______ et à l'intimé des instructions que ceux-ci devaient exécuter, BG______ recevant ensuite les documents relatifs à l'exécution des transferts de fonds ordonnés. Plusieurs témoins ont en particulier indiqué qu'il y avait un rapport hiérarchique entre le plaignant et l'intimé, lequel n'agissait que sur instructions. Dans ses écritures d'appel, l'intimé admet expressément, à la suite des premiers juges (jugement TCO p. 29), " l'existence d'un rapport contractuel oral " avec le plaignant, relatif au transfert d'une partie de la fortune de ce dernier sur le compte de F______. Il avait donc à tout le moins été convenu début 2000 entre les parties que des avoirs dont le plaignant et son épouse étaient les ayants droit économiques soient conservés par la société de l'intimé et qu'il en soit disposé selon leurs instructions, ce qui avait constitué le fondement d'un rapport de confiance. Ces avoirs étaient par ailleurs entrés dans la possession ou à tout le moins la copossession de l'intimé, lequel était, vis-à-vis de la E______, non seulement propriétaire de la société mais aussi ayant droit économique du compte général 1______ de F______, avec pouvoir de signature. La CPAR retiendra par conséquent, comme les premiers juges, que les fonds transférés par le plaignant en 2000/2001 auprès de la E______ étaient confiés à l'intimé, au sens de l'art. 138 CP. - Il s'agit ensuite de déterminer quelles ont été les valeurs patrimoniales confiées par les plaignants à l'intimé sur le sous-compte 1______/8______ de F______. - Dans son acte d'accusation (p. 5, par. 28), le MP retient tout d'abord une somme d'USD 7'300'000.-, faisant partie de la fortune personnelle des plaignants. Il ressort des pièces bancaires figurant à la procédure que le plaignant a effectué, pour l'essentiel en 2000 et 2001, de nombreux et importants virements du compte joint dont il était titulaire avec son épouse et des comptes de sociétés qu'il contrôlait (en particulier AA______, AB______, V______, BX______), sur le compte 7______ de F______ au G______ à AN______, dont il était l'ayant droit économique. Après avoir soutenu être l'ayant droit économique du compte 7______ et affirmé que les avoirs s'y trouvant n'appartenaient pas au plaignant, l'intimé a admis que les sommes de GBP 630'000.-, GBP 356'357.-, GBP 290'000.-, USD 656'000.-, USD 247'000.- et USD 201'950.-, transférées en 2000, 2001 et 2004, appartenaient à A______. L'intimé a néanmoins affirmé qu'une somme d'USD 2'300'000.- appartenait à F______, allégué ne trouvant pas d'appui dans la procédure, en particulier s'agissant de l'origine de ces fonds et de leur arrière-plan économique. USD 3'695'000.- reviendraient à F______, représentant le produit d'une transaction sur des céréales. Là encore, les faits ne sont pas établis. Enfin, l'intimé a prétendu qu'il avait été tenu compte des fonds provenant des comptes des plaignants lors de l'établissement du décompte du 15 avril 2002, ayant pris la forme d'un contrat de prêt de EUR 3'400'000.-, ce que les éléments figurant à la procédure ne confirment pas non plus. Le plaignant a viré GBP 1'040'010.44 le 20 février 2001, USD 6'300'018.- le 6 avril 2001, GBP 300'010.- le 9 avril 2001 et USD 1'000'024.24 le 7 juillet 2008 du compte 7______ au sous-compte 1______/8______ de F______. Au vu de ce qui précède, il y a lieu de retenir que le plaignant et son épouse étaient les ayants droit économiques de ces fonds, lesquels sont entrés à tout le moins dans la copossession de l'intimé, qui devait les conserver et ne les utiliser que conformément aux instructions du plaignant. Cet argent avait donc bien été confié à l'intimé. - Dans son acte d'accusation (p. 5, par. 29), le MP retient ensuite une somme d'USD 23'000'000.-, virée d'avril à septembre 2004 par AQ______ sur le sous-compte 1______/8______ de F______, représentant des honoraires dus au plaignant. Le plaignant a indiqué qu'en 2004, il faisait campagne en vue de son élection comme Sénateur de M______. A ce titre, il ne pouvait plus apparaître en qualité d'ayant droit économique de fonds déposés à l'étranger. Il avait ainsi décidé de transférer d'importantes sommes d'argent des comptes de l'une de ses sociétés, BK______, sur le sous-compte 1______/8______ de F______, les fonds étant ainsi confiés à l'intimé comme en 2000/2001. Selon le plaignant, l'intimé lui avait alors demandé de ne pas procéder à des transferts directs du compte de BK______ sur celui de F______, mais de passer par ceux des sociétés BL______ et AQ______, qu'il contrôlait, en indiquant lors de chaque virement un motif contraire à la réalité, soit des paiements intervenant dans le cadre de transactions sur du pétrole. L'intimé avait ajouté avoir un intérêt personnel à agir ainsi. Le plaignant avait accepté de procéder de la sorte, faisant confiance à l'intimé, ce qui ne manque pas d'étonner, de la part d'un homme d'affaires avisé, docteur en économie, ancien directeur général de banque et rompu au trading de matières premières et aux opérations financières de tous ordres, telles que l'octroi de prêts importants à de nombreuses sociétés. Entre le 31 mars et le 14 septembre 2004, les sociétés BK______, mais aussi BN______, BR______ et BP______, que le plaignant qualifie de partenaires commerciaux, ont effectué septante virements sur le compte de BL______, pour environ USD 22'000'000.-. Sur l'origine des fonds, le plaignant et certains témoins ont beaucoup varié. Le MP retient dans son acte d'accusation qu'il s'agit d'honoraires dus au plaignant, sans indiquer la nature des prestations ayant justifié lesdits honoraires, d'un montant tout de même très important. Les sociétés partenaires du plaignant mentionnées ci-dessus auraient versé des commissions en lien avec des opérations de trading sur les céréales. Devant le Tribunal correctionnel, le plaignant est revenu sur ses précédentes déclarations, soutenant que les fonds transférés sur le compte de BL______ provenaient en partie d'un simple transfert de son propre patrimoine et, pour le solde, de bénéfices réalisés à l'occasion d'investissements dont la nature n'a pas été indiquée. Le plaignant ne pouvait expliquer que CQ______ parle de commissions dans ses attestations rédigées sur la base des pièces bancaires et des informations qu'il lui avait founies ni que BG______ dise que les fonds constituaient des bénéfices réalisés dans le cadre d'affaires conclues avec AQ______. Enfin, le plaignant a affirmé qu'il discutait toujours des schémas de transferts de fonds avec son avocat, M e AE______. Or, ce dernier a indiqué n'avoir pas connu l'existence de la société AQ______ avant 2011, année durant laquelle le plaignant en avait fait l'acquisition. De telles circonstances et incertitudes sur l'origine des fonds entament la crédibilité des déclarations du plaignant. Par ailleurs, l'intimé a allégué que les fonds virés du compte de AQ______ sur celui de F______ provenaient de la vente par la seconde à la première de plus de 80'000 tonnes de céréales, pour un prix total d'environ USD 23'000'000.-. AQ______ avait revendu les céréales contre des espèces remises à un certain CC______, en paiement du prix d'un grand garage dont ce dernier était propriétaire à CS______, en BU______. CC______ aurait souhaité " du cash " afin de régler certaines de ses dettes/d'éviter des frais bancaires. CD______, de AQ______, un ami de l'intimé avec lequel il s'est entretenu de la procédure pénale pendante à Genève, a confirmé la réalité de cette opération, ajoutant qu'CC______ était son meilleur ami. Il y a donc lieu d'apprécier les déclarations de ce témoin avec beaucoup de circonspection. L'intimé a produit copie de quatre contrats passés entre F______ et AQ______ les 31 mars (15______ 21), 1 er avril (15______ 22), 31 mai (15______ 23) et 10 août 2004 (15______ 24), relatifs à la vente des céréales. Aucun autre document n'a été versé à la procédure concernant ces transactions, réalisées, selon l'intimé, par l'intermédiaire de sa société AZ______, disparue depuis lors. Suite à la requête du plaignant, les douanes BU______ ont indiqué n'avoir pas retrouvé la trace des livraisons effectuées, selon l'intimé, à la frontière avec BU______. Il apparaît que, du 2 avril au 17 septembre 2004, le compte de BL______ auprès de la AR______, en BU______, a été débité à trente-quatre reprises de montants, ne correspondant pas à ceux virés par le plaignant des comptes de ses sociétés et de ceux de ses partenaires, totalisant USD 15'278'677.-, aux fins de créditer le compte de AQ______ dans la même banque, avec des indications relatives à de nombreux contrats, dont les dates de conclusion ne coïncident pas avec celles des quatre conventions susmentionnées. Enfin, entre le 2 avril et le 17 septembre 2004, des dizaines de versements ont été effectués par AQ______ sur le sous-compte 1______/8______ de F______ auprès de la E______, pour un montant total d'USD 22'604'298.-, faisant expressément référence aux quatre contrats susmentionnés. Le plaignant soutient que les quatre contrats produits par l'intimé sont des faux et que les transactions dont ils font état n'ont jamais existé. Il est vrai que ces transactions et leur cause, soit la remise d'espèces à hauteur de USD 23'000'000.- à un BT______ afin de lui permettre de payer ses dettes/d'éviter des frais bancaires, laissent pour le moins perplexe. Les contrats produits ne figurent à la procédure qu'en copies, même si l'intimé avait indiqué tenir les originaux à disposition de la justice. Ils ne contiennent rien sur le for en cas de litige ni sur le droit applicable. Les douanes BU______ n'ont pas trouvé trace de ces opérations. L'on ne comprend pas pour quelle raison l'intimé aurait fait virer des fonds sur le sous-compte mis à disposition du plaignant et non sur les rubriques du compte 1______ qu'il contrôlait. BG______ a déclaré que le plaignant lui avait annoncé des entrées d'argent, ce qui n'est compréhensible que si ce dernier avait connaissance de leur cause. Or, il n'a pas été allégué que l'intimé aurait informé le plaignant de paiements devant intervenir sur le sous-compte 8______ en exécution de transactions portant sur des céréales. Enfin, les transferts de fonds sont tous intervenus durant la même période, courant 2004. Ces éléments vont dans le sens de la thèse soutenue par le plaignant. Il n'en reste pas moins que les avis de crédit du sous-compte 8______ de F______ en 2004 font référence aux contrats produits par l'intimé, ce qui semble exclure l'hypothèse retenue par les premiers juges, d'une confection ultérieure de ces documents, en 2008 ou 2009, aux seules fins de justifier des détournements de fonds commis à cette époque. Une autre éventualité serait qu'en 2004, l'intimé aurait obtenu du plaignant qu'il accepte les modalités de transfert des fonds finalement appliquées, ayant déjà l'intention d'être en mesure, ultérieurement, d'alléguer être l'ayant droit économique des fonds pour pouvoir se les approprier. La procédure ne contient toutefois pas d'éléments suffisants permettant de retenir un tel scénario. En définitive, la fausseté des contrats produits n'est pas établie à satisfaction. A cela s'ajoute le fait que d'innombrables opérations se sont déroulées sur le sous-compte 8______ de F______ entre 2004 et 2008, le plaignant mentionnant par exemple des prêts accordés à diverses sociétés à hauteur d'USD 52'350'000.- durant la seule année 2008, notamment à AX______ et USD 16'800'000.- à ses sociétés CA______ et CB______, prêt non remboursé mais dont le plaignant admet que les fonds ont finalement été utilisés pour d'autres opérations, restant ainsi dans sa sphère de possession. L'on ne sait pas si la convention orale conclue en 2000 entre le plaignant et l'intimé était toujours d'actualité en 2008/2009 ou si les deux hommes entretenaient alors de simples relations d'affaires, sans qu'il soit encore question de conservation ou de gestion de fonds appartenant au plaignant. Confrontée à ces éléments, la CPAR doit constater qu'il subsiste un doute insurmontable au sujet de l'origine et de l'identité de l'ayant droit des USD 23'000'000.- mentionnés dans l'acte d'accusation du MP, de sorte qu'il ne peut être retenu que ces fonds ont été confiés à l'intimé. - Dans son acte d'accusation (p. 5, par. 30), le MP retient que le sous-compte 1______/8______ de F______ a été alimenté, à des dates indéterminées, par des montants indéterminés provenant du remboursement par de nombreuses sociétés, notamment AQ______ et AX______, de facilités que le plaignant leur avait accordées. Les premiers juges ont considéré que l'acte d'accusation n'était pas assez précis sur ce point et violait la maxime accusatoire. En particulier, une nouvelle mention de AQ______ faisait double emploi avec le par. 29 examiné ci-dessus. Les faits allégués ne pouvaient par conséquent pas être retenus à l'encontre de l'intimé, soit que des fonds avaient été confiés à ce dernier. Il n'en reste pas moins que l'acte d'accusation mentionne (p. 7 et 8, par. 36 à 40) l'octroi en 2006 par le plaignant, au travers de F______, de trois prêts à AX______, société de BF______, ces facilités ayant été formalisées en 2008, datés du 21 février 2008 pour USD 10'000'000.-, du 28 avril 2008 pour USD 10'000'000.- et du 7 juillet 2008 pour USD 6'200'000.-. Les remboursements étaient intervenus sur le sous-compte 1______/8______ de F______ le 10 juin 2009 pour USD 10'625'000.-, le 28 juillet 2009 pour USD 11'250'000.- et le 14 septembre 2009 pour 7'362'500.-. L'intimé avait immédiatement transféré ces trois montants sur des comptes de ses sociétés. L'existence de ces transactions a été confirmée par les déclarations de BF______, lequel a indiqué que le plaignant s'était présenté, lors de la négociation des prêts, comme l'ayant droit économique de F______. Selon le plaignant, ces fonds faisaient partie de ceux confiés à l'intimé, dans le cadre du contrat de fiducie conclu en 2000, ce que ce dernier conteste, sans indiquer quelle aurait été l'origine des fonds, dont il ne s'est prétendu l'ayant droit économique qu'à partir de fin 2008, sans produire de pièces appuyant sa thèse. L'intimé s'est en effet contenté d'affirmer que cet argent était la propriété de F______ et n'avait rien à voir avec le plaignant. Ceci étant, il ne s'agit plus ici du transfert d'éléments de fortune des plaignants, confiés à l'intimé, mais de nombreuses transactions commerciales, auxquelles participent le plaignant, l'intimé et des tiers, menées huit ans après l'accord oral conclu en 2000. De tels fonds étaient-ils encore confiés à l'intimé ? Il subsiste un doute à ce sujet, qui doit lui profiter. Il ne sera donc pas retenu que les fonds mentionnés au par. 30 de l'acte d'accusation du MP lui avaient été confiés dans le but qu'il les conserve ou les administre conformément aux instructions du plaignant. - Dans son acte d'accusation (p. 7 et 8, par. 1 à 12), le MP retient, comme premier comportement constitutif d'abus de confiance, le nantissement à hauteur d'USD 5'300'000.- des avoirs du plaignant en faveur de la E______ pour garantir les dettes des sociétés de l'intimé AI______ et AK______ envers la banque et cela sans en avoir préalablement obtenu l'autorisation, ainsi que le maintien dudit nantissement en dépit d'une demande de sa levée émanant du plaignant. Dans son mémoire d'appel, le MP a admis l'acquittement prononcé par les premiers juges sur ce point. Selon les " board resolutions " de F______ signés les 6 novembre 2001 et 3 avril 2002 par le plaignant, l'intimé et H______, le premier a accepté que les avoirs de F______ garantissent les dettes des sociétés de l'intimé envers la E______. Ces documents ont pris la forme d'actes généraux de nantissement ne contenant aucune condition ou restriction. En particulier, ils n'excluent pas de leur application les avoirs figurant sur le sous-compte 1______/8______ ni ne prévoient la nécessité d'une autorisation expresse du plaignant à chaque fois qu'il est recouru à ces garanties. Il subsiste donc un doute insurmontable sur la survenance d'une violation du rapport de confiance existant entre le plaignant et l'intimé, de sorte que la décision des premiers juges sera confirmée. - Dans son acte d'accusation (p. 8 et 9, par. 1 à 8), le MP retient, comme second comportement constitutif d'abus de confiance, le refus de l'intimé de rembourser, en 2008, le prêt d'EUR 5'300'000.- octroyé en 2002 et dont le montant avait augmenté dans l'intervalle. Dans son mémoire d'appel, le MP ne remet pas en cause l'acquittement prononcé par les premiers juges sur ce point. Les deux parties admettent avoir été liées par un contrat de prêt, les intérêts ayant été versés sur le sous-compte 10______ du compte de F______. Aucun élément du dossier ne permet de retenir que les sommes prêtées devaient avoir une affectation précise. L'intimé pouvait par conséquent utiliser cet argent à sa guise. Ainsi, et conformément à la jurisprudence citée ci-dessus sous ch.</w:t>
      </w:r>
    </w:p>
    <w:p>
      <w:r>
        <w:rPr>
          <w:b/>
        </w:rPr>
        <w:t>E. 3.1</w:t>
      </w:r>
    </w:p>
    <w:p>
      <w:r>
        <w:t>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(A. KUHN / Y. JEANNERET (éds.), Commentaire romand : Code de procédure pénale suisse , Bâle 2011, n. 21 ad art. 126).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w:t>
      </w:r>
    </w:p>
    <w:p>
      <w:r>
        <w:rPr>
          <w:b/>
        </w:rPr>
        <w:t>E. 3.2</w:t>
      </w:r>
    </w:p>
    <w:p>
      <w:r>
        <w:t>L'intimé ayant été acquitté, les plaignants seront déboutés de leurs conclusions civiles.</w:t>
      </w:r>
    </w:p>
    <w:p>
      <w:r>
        <w:rPr>
          <w:b/>
        </w:rPr>
        <w:t>E. 4</w:t>
      </w:r>
    </w:p>
    <w:p>
      <w:r>
        <w:t>4.1.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Si elle ne s'acquitte pas de cette obligation, l'autorité pénale n'entre pas en matière sur la demande.</w:t>
      </w:r>
    </w:p>
    <w:p>
      <w:r>
        <w:rPr>
          <w:b/>
        </w:rPr>
        <w:t>E. 4.2</w:t>
      </w:r>
    </w:p>
    <w:p>
      <w:r>
        <w:t>Les plaignants ayant succombé, ils seront déboutés de leurs conclusions prises en application de l'art. 433 CPP.</w:t>
      </w:r>
    </w:p>
    <w:p>
      <w:r>
        <w:rPr>
          <w:b/>
        </w:rPr>
        <w:t>E. 5</w:t>
      </w:r>
    </w:p>
    <w:p>
      <w:r>
        <w:t>5.1. Selon l'art. 429 al. 1 CPP, le prévenu bénéficiant d'un acquittement a droit à une indemnité pour les dépenses occasionnées par l'exercice raisonnable de ses droits de procédure (let. a), une indemnité pour le dommage économique subi au titre de sa participation obligatoire à la procédure pénale (let. b) et à une réparation du tort moral en cas de privation de liberté (let. c). L'alinéa 2 prévoit que l'autorité pénale examine d'office les prétentions du prévenu. Il en résulte qu'il incombe à l'autorité pénale, à tout le moins, d'interpeller le prévenu sur cette question et, comme le prévoit la loi, de lui enjoindre, au besoin, de chiffrer et justifier ses prétentions en indemnisation (arrêts du Tribunal fédéral 6B_661/2013 du 10 juin 2014 consid. 3.1 et 6B_472/2012 du 13 novembre 2012 consid. 2.1). Aux termes de l'art. 429 al. 1 let. a CPP, l'indemnité concerne les dépenses du prévenu pour un avocat de choix (ATF 138 IV 205 consid.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Les honoraires d'avocat se calculent selon le tarif local, à condition qu'ils restent proportionnés (N. SCHMID, Schweizerische Strafprozessordnung : Praxis-kommentar , 2 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 2 e éd., Bâle 2014, n. 19 ad art. 429). La Cour de justice applique, pour un chef d'étude, un tarif horaire de CHF 450.- ( ACPR/112/2014 du 26 février 2014, renvoyant au tarif " usuel " de CHF 400.- ressortant de la SJ 2012 I 175 et jugé non arbitraire par le Tribunal fédéral = SJ 2014 I 426 ; ACPR/279/2014 du 27 mai 2014, ACPR/21/2014 du 13 janvier 2014) ou de CHF 400.- ( ACPR/282/2014 du 30 mai 2014), notamment si l'avocat concerné avait lui-même calculé sa prétention à ce taux-là ( ACPR/377/2013 du 13 août 2013). Les tarifs horaires appliqués sont de CHF 350.- pour un collaborateur et de CHF 150.- pour un stagiaire ( AARP/497/2016 consid. 5.5.1 et les références citées, AARP/477/2016 consid. 4.1.1). L'art. 127 al. 2 CPP prévoit qu'une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Le Message du Conseil fédéral spécifie que, dans les affaires complexes, les parties peuvent avoir un intérêt légitime à disposer de plusieurs avocats, étant chacun spécialisé dans une matière déterminée (Message du 21 décembre 2005 relatif à l'unification du droit de la procédure, FF 2005 1057 p. 1155). Au vu de ce qui précède, le CPP n'exclut pas en soi la participation de plusieurs défenseurs. Autre est néanmoins la question de savoir si le prévenu acquitté peut requérir une indemnisation pour ses frais de défense qui couvre l'intervention de ses différents défenseurs. Le recours à plusieurs avocats peut, en cas de procédure d'une exceptionnelle longueur, particulièrement volumineuse et complexe, par exemple une procédure se rapportant à la gestion des intérêts pécuniaires d'une banque, procéder d'un exercice raisonnable des droits de procédure (arrêt du Tribunal fédéral 6B_875/2014 consid. 4.3/4.5 = SJ 2014 I 424-425).</w:t>
      </w:r>
    </w:p>
    <w:p>
      <w:r>
        <w:rPr>
          <w:b/>
        </w:rPr>
        <w:t>E. 5.2</w:t>
      </w:r>
    </w:p>
    <w:p>
      <w:r>
        <w:t>L'intimé ayant été acquitté, une indemnité lui est due, à charge de l'Etat de Genève, et non des parties plaignantes, le MP devant poursuivre d'office des chefs d'abus de confiance et de blanchiment d'argent, pour ses frais de défense de première instance et d'appel, ainsi qu'en réparation de son dommage matériel. En l'espèce, l'intimé ne remet pas en cause le montant de CHF 450'000.- qui lui a été alloué par les premiers juges au titre d'indemnité pour ses frais de défense. Il produit une note d'honoraires de ses conseils de CHF 70'671.70 pour la procédure d'appel, utilisant les mêmes tarifs horaires qu'en première instance. Le MP conclut à une réduction des montants alloués/réclamés. Si les prestations facturées ne sont pas contestées en tant que telles, il apparaît que la présence de deux avocats aux côtés de l'intimé, admise par ce dernier, n'était pas nécessaire, le dossier n'ayant pas un volume ni une complexité exceptionnelle. Cela justifie une réduction d'un tiers des sommes facturées. Par ailleurs, le tarif horaire pratiqué est proche de CHF 500.-, soit supérieur à celui admissible de CHF 400.- à CHF 450.-, selon la jurisprudence citée plus haut, ce qui justifie une réduction supplémentaire de 15% des montants réclamés. Enfin, ne seront retenus au titre du dommage matériel que les montants établis à satisfaction, qui concernent les frais de voyage et d'hôtel. Au vu de ce qui précède, l'intimé se verra allouer une indemnité globale de CHF 350'000.-, en application des dispositions de l'art. 429 al. 1 let. a et b CPP, pour les deux instances. Le jugement entrepris sera réformé sur ce point.</w:t>
      </w:r>
    </w:p>
    <w:p>
      <w:r>
        <w:rPr>
          <w:b/>
        </w:rPr>
        <w:t>E. 6.1</w:t>
      </w:r>
    </w:p>
    <w:p>
      <w:r>
        <w:t>Les frais de la procédure de recours sont mis à la charge des parties dans la mesure où elles ont obtenu gain de cause ou succombé (art. 428 al. 1 CPP).</w:t>
      </w:r>
    </w:p>
    <w:p>
      <w:r>
        <w:rPr>
          <w:b/>
        </w:rPr>
        <w:t>E. 6.2</w:t>
      </w:r>
    </w:p>
    <w:p>
      <w:r>
        <w:t>En l'occurrence, les appelants ayant succombé, les frais de la procédure de première instance et d'appel seront mis à la charge de l'Etat, et non des parties plaignantes, le MP ayant eu à poursuivre les faits d'office.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