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P/10011/2020 vom 17. November 2020</w:t>
      </w:r>
    </w:p>
    <w:p>
      <w:r>
        <w:t>GE Cour de justice, 2020-11-17, FR</w:t>
      </w:r>
    </w:p>
    <w:p>
      <w:r>
        <w:rPr>
          <w:b/>
        </w:rPr>
        <w:t xml:space="preserve">Quelle: </w:t>
      </w:r>
      <w:r>
        <w:t>https://mcp.opencaselaw.ch/entscheid/ge_gerichte_P_10011_2020</w:t>
      </w:r>
    </w:p>
    <w:p>
      <w:r>
        <w:t>FR: GE_GERICHTE P/10011/2020 du 17 novembre 2020</w:t>
      </w:r>
    </w:p>
    <w:p>
      <w:r>
        <w:t>IT: GE_GERICHTE P/10011/2020 del 17 novembre 2020</w:t>
      </w:r>
    </w:p>
    <w:p>
      <w:pPr>
        <w:pStyle w:val="Heading2"/>
      </w:pPr>
      <w:r>
        <w:t>Regeste</w:t>
      </w:r>
    </w:p>
    <w:p>
      <w:r>
        <w:t>COMMANDEMENT DE PAYER;ORDONNANCE DE NON-ENTREE EN MATIERE;CONTRAINTE(DROIT PÉNAL);COURRIER SOUS LES RESERVES D'USAGE | CP.181; LLCA.12; Us et Coutume.20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l'email du 9 août 2017 serait une preuve illégale. Il estime que cet email envoyé par son avocat au mis en cause était couvert par les réserves d'usages et la LLCA et aurait dû rester confidentiel. Ce faisant, le recourant perd de vue que le mis en cause, à qui le courriel a été adressé personnellement, n'est pas avocat et n'est donc pas tenu par ces dispositions. Le grief est rejeté.</w:t>
      </w:r>
    </w:p>
    <w:p>
      <w:r>
        <w:rPr>
          <w:b/>
        </w:rPr>
        <w:t>E. 4</w:t>
      </w:r>
    </w:p>
    <w:p>
      <w:r>
        <w:t>Le recourant fait grief au Ministère public d'avoir prononcé une ordonnance de non-entrée en matière alors qu'il avait ouvert une instruction.</w:t>
      </w:r>
    </w:p>
    <w:p>
      <w:r>
        <w:rPr>
          <w:b/>
        </w:rPr>
        <w:t>E. 4.1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 En revanche, si une instruction est ouverte au sens de l'art. 309 CPP, elle doit être clôturée formellement (art. 318 al. 1 CPP), de sorte qu'une ordonnance de non-entrée en matière ne peut plus être rendue (arrêt du Tribunal fédéral 1B_67/2012 du 29 mai 2012 consid. 2.1). Ainsi, si le Ministère public n'entend réprimer qu'une partie des faits dans le contexte d'une ordonnance pénale, il doit prononcer simultanément une ordonnance pénale et une ordonnance de classement (ATF 138 IV 241 consid. 2.5).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E______, Arrêt de la procédure pénale par le ministère public sans condamnation, ni instruction: l'ordonnance de non-entrée en matière , in RPS 133 (2015) p. 195). Si le prononcé de mesures de contrainte interdit celui d'une ordonnance de non-entrée en matière (art. 309 al. 1 let. b CPP), le procureur peut, en revanche, sans ouvrir d'instruction, procéder à de premières investigations, par exemple demander à la police de compléter un rapport ou une dénonciation qui n'établit pas clairement les soupçons retenus (art. 309 al. 2 CPP; A. KUHN / Y. JEANNERET (éds), Commentaire romand : Code de procédure pénale suisse , Bâle 2019, 2 ème ed., n. 22 ad art. 309). Dans ce cas, l'avis préliminaire, demandé à la police antérieurement à l'ouverture de l'instruction, n'empêche pas le prononcé d'une ordonnance de non-entrée en matière (arrêt du Tribunal fédéral 1B_262/2012 du 4 juin 2013 consid. 2.2).</w:t>
      </w:r>
    </w:p>
    <w:p>
      <w:r>
        <w:rPr>
          <w:b/>
        </w:rPr>
        <w:t>E. 4.2</w:t>
      </w:r>
    </w:p>
    <w:p>
      <w:r>
        <w:t>En l'espèce, le Procureur a adressé un mandat d'acte d'enquêtes à la police en application de l'art. 309 al. 2 CPP. N'ayant pas ouvert d'instruction, il pouvait rendre la décision querellée (arrêt 6B_290/2020 du 17 juillet 2020 consid. 2). Le grief est rejeté.</w:t>
      </w:r>
    </w:p>
    <w:p>
      <w:r>
        <w:rPr>
          <w:b/>
        </w:rPr>
        <w:t>E. 5.1</w:t>
      </w:r>
    </w:p>
    <w:p>
      <w:r>
        <w:t>. 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5.2</w:t>
      </w:r>
    </w:p>
    <w:p>
      <w:r>
        <w:t>Une non-entrée en matière s'impose également lorsque le litige est de nature purement civile (ATF 137 IV 285 consid. 2.3).</w:t>
      </w:r>
    </w:p>
    <w:p>
      <w:r>
        <w:rPr>
          <w:b/>
        </w:rPr>
        <w:t>E. 5.3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w:t>
      </w:r>
    </w:p>
    <w:p>
      <w:r>
        <w:rPr>
          <w:b/>
        </w:rPr>
        <w:t>E. 5.4</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5.5</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du 15 août 2017 consid. 2.2; cf. également les faits à la base de l'arrêt du Tribunal fédéral 6S.853/2000 du 9 mai 2001).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 ACPR/468/2018 du 24 août 2018 consid. 3.3.). Ainsi, le fondement de la créance invoquée, le montant indiqué sur le commandement de payer et le contexte de sa notification sont autant d'éléments pertinents dans l'appréciation des circonstances du cas d'espèce (cf. R. JORDAN, Les poursuites injustifiées: point de situation, in Revue de l'avocat 2017 p. 131 s. et les arrêts cités).</w:t>
      </w:r>
    </w:p>
    <w:p>
      <w:r>
        <w:rPr>
          <w:b/>
        </w:rPr>
        <w:t>E. 5.6</w:t>
      </w:r>
    </w:p>
    <w:p>
      <w:r>
        <w:t>En l'espèce, le recourant ne s'est pas laissé intimider par les commandements de payer litigieux, puisqu'il y a fait opposition et a demandé à l'Office des poursuites de ne pas divulguer les poursuites, si bien que seule une tentative de contrainte (art. 22 al. 1 cum 181 CP) pourrait entrer en considération. Les deux commandements de payer qui lui ont été notifiés pour un montant total de CHF 44'895.35.- ne sont pas susceptibles de constituer, objectivement, une entrave à sa liberté d'action, preuve en sont ses oppositions et demandes de non-divulgation des poursuites susmentionnées. En outre, le moyen utilisé - soit la notification d'un commandement de payer - est conforme à la Loi fédérale sur la poursuite pour dettes et la faillite du 11 avril 1889 (LP; RS 281.1). Le dépôt de la demande en justice, même pour un montant légèrement réduit à CHF 39'003.50, ne permet pas de penser que le mis en cause aurait été de mauvaise foi en notifiant les commandements de payer successifs, destinés à interrompre le délai de prescription d'une année qui s'applique aux litiges liés à la responsabilité précontractuelle. Il existe donc, sur le plan pénal, un lien suffisant entre la créance invoquée par la mise en cause et le montant réclamé - sans qu'il n'appartienne aux autorités pénales de décider si une responsabilité du recourant était engagée ou non, cette question étant de nature civile -. Faute de prévention pénale suffisante, la décision querellée ne prête pas le flanc à la critique.</w:t>
      </w:r>
    </w:p>
    <w:p>
      <w:r>
        <w:rPr>
          <w:b/>
        </w:rPr>
        <w:t>E. 6</w:t>
      </w:r>
    </w:p>
    <w:p>
      <w:r>
        <w:t>Justifiée, la décision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