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P/10008/2020 vom 22. April 2024</w:t>
      </w:r>
    </w:p>
    <w:p>
      <w:r>
        <w:t>GE Cour de justice, 2024-04-22, FR</w:t>
      </w:r>
    </w:p>
    <w:p>
      <w:r>
        <w:rPr>
          <w:b/>
        </w:rPr>
        <w:t xml:space="preserve">Quelle: </w:t>
      </w:r>
      <w:r>
        <w:t>https://mcp.opencaselaw.ch/entscheid/ge_gerichte_P_10008_2020</w:t>
      </w:r>
    </w:p>
    <w:p>
      <w:r>
        <w:t>FR: GE_GERICHTE P/10008/2020 du 22 avril 2024</w:t>
      </w:r>
    </w:p>
    <w:p>
      <w:r>
        <w:t>IT: GE_GERICHTE P/10008/2020 del 22 aprile 2024</w:t>
      </w:r>
    </w:p>
    <w:p>
      <w:pPr>
        <w:pStyle w:val="Heading2"/>
      </w:pPr>
      <w:r>
        <w:t>Regeste</w:t>
      </w:r>
    </w:p>
    <w:p>
      <w:r>
        <w:t>CP.125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L'art. 125 al. 1 CP réprime le comportement de celui qui, par négligence, aura fait subir à une personne une atteinte à l'intégrité corporelle ou à la santé. Elle suppose la réalisation de trois conditions : une négligence, une atteinte à l'intégrité corporelle et un lien de causalité naturelle et adéquate entre ces deux éléments.</w:t>
      </w:r>
    </w:p>
    <w:p>
      <w:r>
        <w:rPr>
          <w:b/>
        </w:rPr>
        <w:t>E. 2.2.1</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ATF 133 IV 158 consid. 5.1).</w:t>
      </w:r>
    </w:p>
    <w:p>
      <w:r>
        <w:rPr>
          <w:b/>
        </w:rPr>
        <w:t>E. 2.2.2</w:t>
      </w:r>
    </w:p>
    <w:p>
      <w:r>
        <w:t>S'agissant d'un accident de la route, il convient de se référer aux règles de la circulation routière (arrêt du Tribunal fédéral 6B_69/2017 du 28 novembre 2017 consid. 2.1), étant précisé que la violation de règles de la circulation routière au sens de l'art. 90 al. 1 LCR est absorbée par l'art. 125 CP, en l'absence de mise en danger d'autres personnes que le blessé (arrêt du Tribunal fédéral 6B_291/2015 du 18 janvier 2016 consid. 3.2 ; M. DUPUIS / L. MOREILLON / C. PIGUET / S. BERGER / M. MAZOU / V. RODIGARI [éds.], Petit commentaire, Code pénal, 2ème éd., 2017 Bâle, n. 14 ad art. 125). L'art. 26 al. 1 LCR prescrit que chacun doit se comporter, dans la circulation, de manière à ne pas gêner ni mettre en danger ceux qui utilisent la route conformément aux règles établies. Ainsi, selon le principe de la confiance qui en découle, tout usager de la route qui se comporte conformément aux règles établies, doit pouvoir, dans la mesure où aucune circonstance particulière ne s'y oppose, admettre que les autres participants à la circulation routière se conduiront également de façon conforme aux règles (ATF 143 IV 138 consid. 2.1). À teneur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Le conducteur qui veut modifier sa direction de marche, par exemple pour dépasser, est tenu d'avoir égard aux usagers de la route qui viennent en sens inverse ainsi qu'au véhicule qui le suivent (art. 34 al. 3 LCR). Le conducteur observera une distance suffisante envers tous les usagers de la route, notamment pour croiser, dépasser et circuler de front ou lorsque des véhicules se suivent (art. 34 al. 4 LCR).</w:t>
      </w:r>
    </w:p>
    <w:p>
      <w:r>
        <w:rPr>
          <w:b/>
        </w:rPr>
        <w:t>E. 2.2.3</w:t>
      </w:r>
    </w:p>
    <w:p>
      <w:r>
        <w:t>L'atteinte à l'intégrité personnelle doit revêtir la forme de lésions corporelles graves ou simples au sens des articles 122 ou 123 CP.</w:t>
      </w:r>
    </w:p>
    <w:p>
      <w:r>
        <w:rPr>
          <w:b/>
        </w:rPr>
        <w:t>E. 2.2.4</w:t>
      </w:r>
    </w:p>
    <w:p>
      <w:r>
        <w:t>Il faut ensuite qu'il existe un rapport de causalité entre la violation fautive du devoir de prudence et le dommage survenu. La causalité naturelle est établie lorsque l'on peut retenir que le résultat ne se serait vraisemblablement pas produit en l'absence de l'acte considéré.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 arrêt du Tribunal fédéral 6B_69/2017 du 28 novembre 2017 consid. 2.3.2).</w:t>
      </w:r>
    </w:p>
    <w:p>
      <w:r>
        <w:rPr>
          <w:b/>
        </w:rPr>
        <w:t>E. 2.3</w:t>
      </w:r>
    </w:p>
    <w:p>
      <w:r>
        <w:t>En l'espèce, il est établi qu'un heurt a eu lieu sur la route de Jussy entre le véhicule conduit par A______ et le motocycle conduit par C______, causant la chute de ce dernier ainsi que de sa passagère, B______. Il n'est pas contesté que cet accident a entrainé des lésions corporelles simples à B______, telles que décrites dans les différents rapports et certificats médicaux produits, à savoir notamment une légère cicatrice au-dessus de la lèvre ainsi que d'intenses céphalées et des pertes de la mémoire et de l'attention, persistantes. Les déclarations des parties divergent concernant les causes de l'accident. C______ a de manière constante expliqué qu'il avait souhaité doubler le véhicule de l'appelant ainsi que la voiture le précédant. Durant la manœuvre de dépassement, alors qu'il avait atteint une vitesse d'environ 50km/h et se trouvait au milieu de la voie de gauche à la hauteur de l'aile arrière de la voiture de l'appelant, ce dernier avait soudainement fait un écart sur la gauche, heurtant ainsi le côté droit de sa moto. Ces déclarations sont corroborées par sa passagère, B______, mais surtout par celles du témoin, D______. Contrairement à ce qu'argue l'appelant, et bien qu'elle n'ait pas vu la moto et le choc, le témoignage de la précitée est clair, constant et neutre, si bien qu'il n'y a pas lieu de douter de sa crédibilité. Ses propos permettent d'établir que, alors que l'appelant roulait très proche de son véhicule, de manière nerveuse, il s'est soudainement déporté sur la gauche afin, a priori, de le doubler. Les propos de l'appelant manquent quant à eux de crédibilité. Il a persisté à contester les faits, indiquant que le motard, en le dépassant, l'avait touché, provoquant la chute du motocycle. Il a en particulier nié s'être déporté sur la voie de gauche, concédant que s'il avait fait un écart, il n'avait toutefois pas été suffisant pour percuter la moto. Il a en outre indiqué que le véhicule qu'il conduisait possédait un système qui l'empêchait de franchir une ligne blanche et de se déporter sur la voie de gauche, à moins d'avoir enclenché le clignotant. Or, tel que retenu par le premier juge, les documents produits relatifs au fonctionnement du véhicule de l'appelant ne démontrent pas que celui-ci aurait été empêché de changer de voie sans enclencher son clignotant, ni qu'un tel système ne puisse être forcé. L'appelant a en outre indiqué ne pas avoir ressenti de choc au moment de l'accident, alors que sa compagne, assise à la place du passager a déclaré l'avoir ressenti et D______ l'avoir entendu. L'appelant a également affirmé s'être immédiatement arrêté après la collision, sans déplacer son véhicule entre le moment de l'accident et l'arrivée de la police, ce qui est contredit par le témoignage de sa compagne qui a indiqué qu'il avait tourné le volant à droite pour s'arrêter après le heurt. Ainsi, l'appelant ne saurait être suivi dans ses dénégations et la Cour tient pour établi qu'il s'est déporté sur la gauche au moment où le motard, qui avait débuté une manœuvre de dépassement, se trouvait au niveau de l'aile arrière gauche de son véhicule, le percutant et provoquant la chute de celui-ci et de sa passagère. Il est encore nécessaire de savoir si, en se comportant de la sorte, l'appelant a violé les devoirs de la prudence qui lui incombaient. Pour effectuer un changement de voie, par exemple dans le but d'effectuer un dépassement, il est nécessaire de prêter une grande attention aux autres usagers de la route afin de ne pas les gêner. Il appartenait ainsi à l'appelant de s'assurer qu'aucun véhicule ne se trouvait derrière lui ou sur la voie de circulation opposée avant de débuter sa manœuvre, ce qu'il n'a pas fait. Comme il l'a lui-même indiqué, il a entendu un fort bruit de moteur, ce qui aurait dû l'alerter. Il a de plus expliqué avoir regardé dans son rétroviseur droit, central puis ensuite dans le gauche, où il avait observé la moto faire une embardée. Il apparait ainsi qu'il a regardé dans son rétroviseur gauche alors qu'il se trouvait déjà sur la voie de circulation opposée, et non pas en amont pour s'assurer que celle-ci était libre. Au surplus, au vu des circonstances du cas d'espèce, à savoir l'altercation verbale ‑ admise par les parties ‑ qui a précédé l'accident, sa prudence aurait dû être d'autant accrue. L'imprévoyance de l'appelant est en lien de causalité naturelle et adéquate avec la survenance de l'accident et les lésions occasionnées à la victime. Aucune rupture de ce lien ne saurait être retenue. En effet, en changeant de voie de circulation sans prendre toutes les mesures imposées par la prudence, l'appelant a eu un comportement propre, d'après le cours ordinaire des choses et l'expérience générale de la vie, à engendrer un accident de la route. Ses démonstrations selon lesquelles le motard aurait effectué un dépassement dangereux et circulé à une vitesse excessive ne lui sont d'aucune aide, vu l'absence de compensation des fautes en droit pénal, sauf en cas de circonstances exceptionnelles de nature à interrompre le lien de causalité, ce qui n'est pas le cas en l'occurrence. Quand bien même le motard aurait adopté un comportement fautif en roulant trop vite ou en dépassant trop tard, une telle manœuvre effectuée par un motocycle n'apparaît ni comme une cause exceptionnelle ou extraordinaire à laquelle l'appelant ne pouvait pas s'attendre, ni comme une violation si grave à la LCR qu'elle aurait eu une influence telle sur la survenance du résultat que le comportement de l'appelant soit relégué au second plan et ne puisse plus être considéré comme la cause adéquate de l'accident. Le comportement du motocycle ne saurait ainsi engendrer une rupture du lien de causalité adéquate. Partant, la culpabilité de l'appelant pour lésions corporelles par négligence (art. 125 CP) sera confirmée, étant rappelé qu'une plainte pénale a été déposée en temps utile.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3.2</w:t>
      </w:r>
    </w:p>
    <w:p>
      <w:r>
        <w:t>Le juge suspend en règle générale l'exécution d'une peine pécuniaire ou d'une peine privative de liberté de deux ans au plus lorsqu'une peine ferme ne paraît pas nécessaire pour détourner l'auteur d'autres crimes ou délits (art. 42 al. 1 CP). Il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60 consid. 7.3). Pour tenir compte du caractère accessoire des peines cumulées, il se justifie en principe d'en fixer la limite supérieure à un cinquième, respectivement à 20%, de la peine principale (ATF 135 IV 188 consid. 3.3 et 3.4.4).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w:t>
      </w:r>
    </w:p>
    <w:p>
      <w:r>
        <w:rPr>
          <w:b/>
        </w:rPr>
        <w:t>E. 3.3</w:t>
      </w:r>
    </w:p>
    <w:p>
      <w:r>
        <w:t>En l'occurrence, la faute commise par l'appelant relève d'une négligence. Il a fait preuve d'inattention et d'un manque de prudence, portant ainsi atteinte à l'intégrité corporelle de la victime. Sa collaboration a été mauvaise. Il n'a eu cesse de contester le fait de s'être déporté sur la voie de circulation de gauche. Sa prise de conscience fait défaut, celui-ci persistant à nier sa responsabilité et à reporter la faute sur le motard. Immédiatement après les faits, il a porté secours à la victime et indiqué durant la procédure compatir à la souffrance de celle-ci ; il sera néanmoins tenu compte du fait que, même à ces occasions, il a insulté le conducteur de la moto et rejeté sur lui la responsabilité de l'accident. Rien dans sa situation personnelle ne justifie ni n'excuse son comportement. Il n'a pas d'antécédent, ce qui est un facteur neutre dans le cadre de la fixation de la peine. Le prononcé d'une peine pécuniaire, à juste titre, est acquis à l'appelant. Sa quotité, arrêtée à 90 jours-amende par l'instance inférieure, sous déduction d'un jour-amende, correspondant à un jour de détention avant jugement (art. 51 CP), est conforme au droit et le montant du jour-amende retenu par le premier juge, de CHF 200.- l'unité, qui n’a pas été spécifiquement critiqué, apparaît adapté à la situation personnelle de l'appelant, si bien que ceux-ci seront confirmés, tout comme le bénéfice du sursis qui est acquis à l'appelant et le délai d’épreuve de trois ans qui est adéquat (art. 391 al. 2 CP). Il convient d'assortir cette peine pécuniaire d'une amende à titre de sanction immédiate, laquelle se justifie pleinement au vu de l'absence totale de prise de conscience de l'appelant. L'amende fixée par le premier juge à hauteur de CHF 3'600.-, laquelle entre dans la fourchette des 20% de la peine principale, sera partant confirmée, tout comme les 18 jours de peine privative de liberté de substitution (art. 391 al. 2 CP). Le jugement entrepris sera confirmé sur ce point.</w:t>
      </w:r>
    </w:p>
    <w:p>
      <w:r>
        <w:rPr>
          <w:b/>
        </w:rPr>
        <w:t>E. 4</w:t>
      </w:r>
    </w:p>
    <w:p>
      <w:r>
        <w:t>4.1. En qualité de partie plaignante, le lésé peut faire valoir des conclusions civiles déduites de l'infraction par adhésion à la procédure pénale ; le même droit appartient aux proches de la victime (art. 122 al. 1 et 2 CPP). Le tribunal saisi de la cause pénale statue sur les conclusions civiles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ATF 130 III 699 consid. 5.1 ; ATF 129 IV 22 consid. 7.2 ; arrêts du Tribunal fédéral 6B_267/2016 du 15 février 2017 consid. 8.1).</w:t>
      </w:r>
    </w:p>
    <w:p>
      <w:r>
        <w:rPr>
          <w:b/>
        </w:rPr>
        <w:t>E. 4.2</w:t>
      </w:r>
    </w:p>
    <w:p>
      <w:r>
        <w:t>En l'espèce, le premier juge a alloué à B______, CHF 4'000.00, avec intérêts à 5% dès le 15 mars 2020, à titre de réparation du tort moral, qui n’est pas contesté en tant que tel par l'appelant. Ce montant tient équitablement compte de l'atteinte subie par la victime à son intégrité corporelle et aux souffrances endurées, étant précisé qu'elle subit toujours, selon le dernier certificat médical produit, des troubles neurocognitifs et qu'il subsiste une cicatrice au-dessus de sa lèvre supérieure. Partant, le jugement sera confirmé sur ce point.</w:t>
      </w:r>
    </w:p>
    <w:p>
      <w:r>
        <w:rPr>
          <w:b/>
        </w:rPr>
        <w:t>E. 5</w:t>
      </w:r>
    </w:p>
    <w:p>
      <w:r>
        <w:t>L'appelant, qui succombe entièrement, supportera les frais de la procédure envers l'État, y compris un émolument d'arrêt de CHF 1'500.- (art. 428 al. 1 CPP). Il n'y a pas lieu de revoir la répartition des frais de première instance (art.  426 al. 1 CPP).</w:t>
      </w:r>
    </w:p>
    <w:p>
      <w:r>
        <w:rPr>
          <w:b/>
        </w:rPr>
        <w:t>E. 6.1</w:t>
      </w:r>
    </w:p>
    <w:p>
      <w:r>
        <w:t>Vu l'issue de son appel, les conclusions en indemnisation de l'appelant seront rejetées (art. 429 al. 1 let. a CPP).</w:t>
      </w:r>
    </w:p>
    <w:p>
      <w:r>
        <w:rPr>
          <w:b/>
        </w:rPr>
        <w:t>E. 6.2</w:t>
      </w:r>
    </w:p>
    <w:p>
      <w:r>
        <w:t>L’indemnisation accordée à B______ en première instance, adéquate, et non contestée au-delà de l'acquittement plaidé, sera confirmée (art. 433 al. 1 CPP). Pour la procédure d’appel, il n'y a pas lieu de l'indemniser dans la mesure où elle n'en a pas fait la demande.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