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PS/9/2019 vom 14. Februar 2019</w:t>
      </w:r>
    </w:p>
    <w:p>
      <w:r>
        <w:t>GE Cour de justice, 2019-02-14, FR</w:t>
      </w:r>
    </w:p>
    <w:p>
      <w:r>
        <w:rPr>
          <w:b/>
        </w:rPr>
        <w:t xml:space="preserve">Quelle: </w:t>
      </w:r>
      <w:r>
        <w:t>https://mcp.opencaselaw.ch/entscheid/ge_gerichte_PS_9_2019</w:t>
      </w:r>
    </w:p>
    <w:p>
      <w:r>
        <w:t>FR: GE_GERICHTE PS/9/2019 du 14 février 2019</w:t>
      </w:r>
    </w:p>
    <w:p>
      <w:r>
        <w:t>IT: GE_GERICHTE PS/9/2019 del 14 febbraio 2019</w:t>
      </w:r>
    </w:p>
    <w:p>
      <w:pPr>
        <w:pStyle w:val="Heading2"/>
      </w:pPr>
      <w:r>
        <w:t>Regeste</w:t>
      </w:r>
    </w:p>
    <w:p>
      <w:r>
        <w:t>LIBERTÉ D'INFORMATION | CP.92a</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 code de procédure pénale suisse s’applique à titre de droit cantonal supplétif (art. 439, al. 1, CPP); la procédure est notamment régie par les art. 379 à 397 CPP (art. 42 al. 2 LaCP). Pour le surplus, la loi sur la procédure administrative (LPA; RS E 5 10) est applicable (art. 40 al. 4 LaCP).![endif]&gt;![if&gt;</w:t>
      </w:r>
    </w:p>
    <w:p>
      <w:r>
        <w:rPr>
          <w:b/>
        </w:rPr>
        <w:t>E. 1.2</w:t>
      </w:r>
    </w:p>
    <w:p>
      <w:r>
        <w:t>Le recours est dirigé contre une décision rendue par le SAPEM, dans une matière pour laquelle il est compétent (art. 40 al. 1 et 5 al. 1 let. e LaCP; art. 11 al. 1 let. d REPM), a été déposée dans le délai prescrit (art. 396 CPP) et émane de la condamnée visée par la décision querellée et qui a un intérêt juridiquement protégé à l'annulation de la décision entreprise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s'oppose à la divulgation d'informations concernant l'exécution de sa peine à la mère de la personne assassinée.![endif]&gt;![if&gt;</w:t>
      </w:r>
    </w:p>
    <w:p>
      <w:r>
        <w:rPr>
          <w:b/>
        </w:rPr>
        <w:t>E. 3.1</w:t>
      </w:r>
    </w:p>
    <w:p>
      <w:r>
        <w:t>À teneur de l’art. 92a al. 1 CP, entré en vigueur au 1 er janvier 2016, les victimes et les proches de la victime au sens de l'art. 1 al. 1 et 2 de la loi sur l'aide aux victimes (LAVI)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sans délai, de toute fuite du condamné ou de la fin de celle-ci (let. b). Selon l’art. 92a al. 3 CP, l’autorité d’exécution peut refuser d’informer ou révoquer sa décision de le faire uniquement si un intérêt prépondérant du condamné le justifie. Selon la disposition de droit transitoire de la modification du 26 septembre 2014, le droit à l’information conféré à l’art. 92a CP s’applique également à l’exécution des sanctions prononcées sous l’empire de l’ancien droit (FF 2014 6962).</w:t>
      </w:r>
    </w:p>
    <w:p>
      <w:r>
        <w:rPr>
          <w:b/>
        </w:rPr>
        <w:t>E. 3.2</w:t>
      </w:r>
    </w:p>
    <w:p>
      <w:r>
        <w:t>Les données sur les personnes contenues dans les décisions d’exécution sont des données sensibles. Il existe un conflit entre leur traitement, dont fait partie leur transmission par les autorités à la victime, et le droit fondamental du condamné à l’autodétermination en matière d’information (art. 13 al. 2 Cst.). Ce dernier implique que les autorités ne sont par principe pas autorisées à remettre à des tiers des données se rapportant à la personne du condamné, concernant p. ex. l’annonce de sa libération conditionnelle prochaine. Communiquer ces données revient à violer ce droit à l’autodétermination en matière d’information. Toute atteinte à un droit fondamental, notamment quand celui-ci vise à protéger une liberté, n’est admissible que si elle remplit les conditions fixées à l’art. 36 Cst.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 informées, ainsi que de limiter le contenu de l’information rendue accessible. On se bornera donc à communiquer à l’ayant droit les décisions d’exécution et faits importants ayant un impact sur sa sécurité (en lui permettant p. ex. de se tenir à l’écart du condamné) (Rapport de la Commission des affaires juridiques du Conseil national du 7 novembre 2013, FF 2014 869 et 872-873). Le droit de la victime à être informée n’est pas absolu. Il s’oppose au droit à l’autodétermination en matière d’information garanti à la personne condamnée par l’art. 13 al. 2 Cst. L’intérêt de la personne condamnée au maintien du secret peut être prépondérant par rapport à celui de l’ayant droit à être informé (art. 36 Cst., voir aussi l’art. 9 LPD). C’est le cas lorsque la transmission d’informations pourrait faire peser un risque grave sur l’intégrité physique ou psychique du condamné, en l’exposant à la vengeance de l’ayant droit ou de ses proches (ibidem; pp. 875-876). Il existe un intérêt public des victimes et de leurs proches à recevoir des informa-tions sur l’exécution des peines et des mesures. Ces personnes doivent pouvoir se mouvoir librement, c’est-à-dire sans avoir à redouter de croiser inopinément la personne condamnée (art. 10 al. 2 Cst.).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l’art.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(le demandeur est-il seulement curieux ou est-il tout aussi touché que la victime?) et les conséquences de la décision sur la réintégration sociale du condamné ou sur les contacts entre les personnes concernées. On tiendra compte ce faisant des droits fondamentaux des personnes concernées, soit de la liberté personnelle (art. 10 Cst.), de la protection des enfants et des jeunes (art. 11 Cst.), du respect de la vie privée et familiale (art. 13 Cst.), de la liberté d’établissement (art. 24 Cst.) et de la liberté économique (art. 27 Cst.) (Avis du Conseil fédéral du 15 janvier 2014, FF 2014 889-890).</w:t>
      </w:r>
    </w:p>
    <w:p>
      <w:r>
        <w:rPr>
          <w:b/>
        </w:rPr>
        <w:t>E. 3.3</w:t>
      </w:r>
    </w:p>
    <w:p>
      <w:r>
        <w:t>En l'espèce, B______, mère de la victime étant une proche au sens de l'art. 1 al. 2 LAVI, a le droit de demander les informations sur l'exécution de la peine de la recourante. Elle n'a, contrairement à des tiers faisant une telle demande, pas à justifier en outre d'un intérêt digne de protection particulier. Elle a expliqué sa demande par son souci d'éviter de croiser la recourante, qui pourrait potentiellement résider près de chez elle. Le caractère improbable de sa rencontre inopinée avec B______ et l'absence de menace qu'elle présenterait pour cette dernière, ne sont pas des intérêts propres prépondérants de la recourante justifiant de refuser la transmission des informations demandées. Il n'est, de surcroît, absolument pas irréaliste ni improbable que B______ se rende à G______ ou la recourante à Genève, voire qu'elles se rencontrent ailleurs dans la région. En outre, la communication de ces informations participe à la rémission du proche sans que le caractère dangereux de la condamnée soit un critère. L'atteinte à son droit à l'autodétermination que représente la transmission d'informations, prise en compte par la loi, par la limitation du cercle des personnes autorisées à recevoir les renseignements et des informations communiquées, motive la pesée des intérêts en présence. La recourante ne fonde ses craintes pour sa vie sur aucun élément concret, aucune menace de représailles, quelle qu'en soit la forme, qui aurait été formulée à son encontre, elle n'en dit en tout cas rien. Elle a développé ces craintes à la suite de la demande d'information alors que la motivation de B______ est de se protéger, elle, d'une rencontre inopinée. La recourante n'a ainsi fait valoir aucun intérêt prépondérant justifiant de ne pas répondre favorablement à la demande de la mère de la personne assassinée. C'est à bon droit que le SAPEM a décidé de l'informer de toutes décisions essentielles prises dans le cadre de l'exécution de la peine de A______.</w:t>
      </w:r>
    </w:p>
    <w:p>
      <w:r>
        <w:rPr>
          <w:b/>
        </w:rPr>
        <w:t>E. 4</w:t>
      </w:r>
    </w:p>
    <w:p>
      <w:r>
        <w:t>Les dispositions du CPP auxquelles renvoie le droit cantonal ne traitent cependant pas des frais de justice. Sur ce point, la Chambre de céans applique aussi le CPP à titre de droit supplétif ( ACPR/443/2014 du 30 septembre 2014 consid. 6). ![endif]&gt;![if&gt; 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