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PS/8/2020 vom 22. Januar 2020</w:t>
      </w:r>
    </w:p>
    <w:p>
      <w:r>
        <w:t>GE Cour de justice, 2020-01-22, FR</w:t>
      </w:r>
    </w:p>
    <w:p>
      <w:r>
        <w:rPr>
          <w:b/>
        </w:rPr>
        <w:t xml:space="preserve">Quelle: </w:t>
      </w:r>
      <w:r>
        <w:t>https://mcp.opencaselaw.ch/entscheid/ge_gerichte_PS_8_2020</w:t>
      </w:r>
    </w:p>
    <w:p>
      <w:r>
        <w:t>FR: GE_GERICHTE PS/8/2020 du 22 janvier 2020</w:t>
      </w:r>
    </w:p>
    <w:p>
      <w:r>
        <w:t>IT: GE_GERICHTE PS/8/2020 del 22 gennaio 2020</w:t>
      </w:r>
    </w:p>
    <w:p>
      <w:pPr>
        <w:pStyle w:val="Heading2"/>
      </w:pPr>
      <w:r>
        <w:t>Regeste</w:t>
      </w:r>
    </w:p>
    <w:p>
      <w:r>
        <w:t>DÉBAT DU TRIBUNAL;CONCLUSIONS NOUVELLES;EXÉCUTION DES PEINES ET DES MESURES | CPP.396; CP.776; Cst.29</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recevable pour être dirigé contre une décision rendue par le SAPEM, dans une matière pour laquelle il est compétent (art. 40 al. 1 et 5 al. 2 let. e LaCP; art. 11 al. 1 let. e REPM), a été déposée dans la forme et le délai prescrits (art. 385 et 396 CPP) et émane du condamné visé par la décision querellée et qui a un intérêt juridiquement protégé à l'annulation de la décision entreprise (art. 382 CPP).</w:t>
      </w:r>
    </w:p>
    <w:p>
      <w:r>
        <w:rPr>
          <w:b/>
        </w:rPr>
        <w:t>E. 2</w:t>
      </w:r>
    </w:p>
    <w:p>
      <w:r>
        <w:t>La Chambre de céans ayant rendu, le 5 février 2020, son arrêt contre le recours formé dans la PS/1______/2019 (ACPR/2______/2020), la demande de jonction est sans objet.</w:t>
      </w:r>
    </w:p>
    <w:p>
      <w:r>
        <w:rPr>
          <w:b/>
        </w:rPr>
        <w:t>E. 3</w:t>
      </w:r>
    </w:p>
    <w:p>
      <w:r>
        <w:t>Le recourant demande une audience de comparution et d'audition de témoins.</w:t>
      </w:r>
    </w:p>
    <w:p>
      <w:r>
        <w:rPr>
          <w:b/>
        </w:rPr>
        <w:t>E. 3.1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3.2</w:t>
      </w:r>
    </w:p>
    <w:p>
      <w:r>
        <w:t>En l'occurrence, il est manifeste que le recourant a pu faire valoir ses griefs dans ses diverses écritures. Ses droits ont ainsi été pleinement respectés et il ne sera donc pas appointé d'audience.</w:t>
      </w:r>
    </w:p>
    <w:p>
      <w:r>
        <w:rPr>
          <w:b/>
        </w:rPr>
        <w:t>E. 4</w:t>
      </w:r>
    </w:p>
    <w:p>
      <w:r>
        <w:t>Dans sa réplique, le recourant conclut à ce que Chambre de céans demande la production du rapport d'arrestation, constate le retard délibéré à rendre la décision de la part du SAPEM et annonce faire recours contre le refus du TAPEM, du TMC voire du SAPEM de se prononcer sur le constat d'illicéité avec suite de réparation.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arrêt du Tribunal fédéral 4A_659/2011 du 7 décembre 2010 consid. 5 publié in SJ 2012 I 231; A. KUHN / Y. JEANNERET / C. PERRIER DEPEURSINGE (éds), Commentaire romand : Code de procédure pénale suisse , Bâle 2019, n. 3 ad art. 385);</w:t>
      </w:r>
    </w:p>
    <w:p>
      <w:r>
        <w:rPr>
          <w:b/>
        </w:rPr>
        <w:t>E. 5</w:t>
      </w:r>
    </w:p>
    <w:p>
      <w:r>
        <w:t>Le recourant souhaite que la décision soit rectifiée en ce sens que le régime d'exécution de ses peines soit élargi afin de tenir compte de son activité de médecin indépendant.</w:t>
      </w:r>
    </w:p>
    <w:p>
      <w:r>
        <w:rPr>
          <w:b/>
        </w:rPr>
        <w:t>E. 5.1</w:t>
      </w:r>
    </w:p>
    <w:p>
      <w:r>
        <w:t>Les conditions d'octroi de la semi-détention pour une peine inférieure à six mois sont définies par les articles 77b et 79 al. 1 CP. Selon l'art. 77b CP, les peines privatives de liberté de six mois à un an sont exécutées sous la forme de la semi-détention, s'il n'y a pas lieu de craindre que le détenu ne s'enfuie ou ne commette de nouvelles infractions. Le risque de fuite ou de récidive doit être d'une certaine importance et les nouvelles infractions doivent être d'une certaine gravité. Pour poser un pronostic quant au comportement futur du condamné, l'autorité d'exécution des peines doit tenir compte, notamment, de ses antécédents judiciaires, de sa personnalité, de son comportement en général et au travail, et des conditions dans lesquelles il vivra (arrêt du Tribunal fédéral 6B_386/2012 du 15 novembre 2012 consid. 6.1). Une troisième condition découle directement du but de la semi-détention : le condamné doit disposer d'une activité professionnelle ou suivre une formation. La semi-détention doit en effet permettre au condamné de conserver son travail ou sa place de formation, et prévenir ainsi le danger de coupure avec le monde professionnel. L'activité lucrative doit être régulière, soit d'au minimum 50% (S. WERLY, L'application des sanctions pénales , in Actualités juridiques de droit public 2013, p. 234) Les conditions prévues à l'art. 77b CP sont également valables pour la semi-détention prononcée au regard de l'art. 79 CP, notamment pour ce qui est du risque de fuite ou de récidive et quant à la nécessité d'avoir une activité (M. DUPUIS / B. GELLER / G. MONNIER / L. MOREILLON / C. PIGUET (éds), Code pénal I : partie générale - art. 1 - 110 DPMIN , Bâle 2008, n. 5 ad art. 79 CP). C'est à l'autorité d'exécution cantonale d'apprécier le risque de fuite ou de récidive, (R. ROTH / L. MOREILLON (éds), Code pénal I : art. 1-100 CP , Bâle 2009, n. 2-3 ad art. 77b), d'autoriser l'exécution sous forme de la semi-détention et d'en fixer les conditions, conformément à l'art. 5 de la décision de la Conférence latine des autorités cantonales compétentes en matière d'exécution des peines et des mesures du 25 septembre 2008 relative à l'exécution des peines sous la forme de la semi-détention (la Décision du 25 septembre 2008). L'art. 7 du Règlement sur les formes alternatives d'exécution des peines (RFAEP; E 4 55.13) précise que le formulaire de demande de semi-détention doit être accompagné notamment d'un document attestant de l'activité d'indépendant, tel un décompte AVS ou une attestation d'assurance sociale, et un document indiquant le lieu et les heures de travail (let. c, 3°).</w:t>
      </w:r>
    </w:p>
    <w:p>
      <w:r>
        <w:rPr>
          <w:b/>
        </w:rPr>
        <w:t>E. 5.2</w:t>
      </w:r>
    </w:p>
    <w:p>
      <w:r>
        <w:t>En l'espèce, force est de constater que le recourant avait demandé à pouvoir exécuter ses peines sous le régime de la semi détention pour pouvoir exercer son activité salariée auprès de ses deux employeurs, sans préciser qu'il voulait également exercer une activité indépendante. Le SAPEM a dès lors rendu une décision l'autorisant à exercer son activité salariée conforme à sa requête. Ce n'est que postérieurement à cette décision, soit en janvier 2020, que le recourant a sollicité du SAPEM de pouvoir effectuer sa semi-détention également par l'exercice de son activité indépendante. Ce service a, dans ses observations, répondu que lorsque le recourant produirait les documents utiles (décompte AVS ou une attestation d'assurance sociale), il pourrait se prononcer sur cette nouvelle demande. Or, à ce jour, le recourant n'a pas produit ces pièces. La décision querellée ne prête ainsi pas le flanc à la critique.</w:t>
      </w:r>
    </w:p>
    <w:p>
      <w:r>
        <w:rPr>
          <w:b/>
        </w:rPr>
        <w:t>E. 6</w:t>
      </w:r>
    </w:p>
    <w:p>
      <w:r>
        <w:t>Justifiée, la décision querellée sera donc confirmée.</w:t>
      </w:r>
    </w:p>
    <w:p>
      <w:r>
        <w:rPr>
          <w:b/>
        </w:rPr>
        <w:t>E. 7</w:t>
      </w:r>
    </w:p>
    <w:p>
      <w:r>
        <w:t>Les conclusions du recourant, qui visent également une réduction de peine et l'octroi d'une indemnité, sont irrecevables, faute de décision préalable (art. 393 al. 1 let. a CPP).</w:t>
      </w:r>
    </w:p>
    <w:p>
      <w:r>
        <w:rPr>
          <w:b/>
        </w:rPr>
        <w:t>E. 8</w:t>
      </w:r>
    </w:p>
    <w:p>
      <w:r>
        <w:t>Le recourant a demandé l'assistance d'un conseil juridique gratuit.</w:t>
      </w:r>
    </w:p>
    <w:p>
      <w:r>
        <w:rPr>
          <w:b/>
        </w:rPr>
        <w:t>E. 8.1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 le cas particulier de la procédure disciplinaire , in RPS 132/2014 p. 92ss, pp. 94-95). Dans un arrêt ancien (ATF 117 Ia 277 consid. 5), le Tribunal fédéral a admis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133 III 614 consid. 5).</w:t>
      </w:r>
    </w:p>
    <w:p>
      <w:r>
        <w:rPr>
          <w:b/>
        </w:rPr>
        <w:t>E. 8.2</w:t>
      </w:r>
    </w:p>
    <w:p>
      <w:r>
        <w:t>En l'espèce, le recours était manifestement dépourvu de chance de succès de sorte que l'assistance judiciaire sera refusée.</w:t>
      </w:r>
    </w:p>
    <w:p>
      <w:r>
        <w:rPr>
          <w:b/>
        </w:rPr>
        <w:t>E. 9</w:t>
      </w:r>
    </w:p>
    <w:p>
      <w:r>
        <w:t>Le recourant, qui succombe, supportera les frais envers l'État, arrêtés au total à CHF 800.- (art. 428 al. 1 CPP et 13 al. 1 du Règlement fixant le tarif des frais en matière pénale, RTFMP ; E 4 10.03). Ces frais ne sont toutefois pas prélevés pour le rejet de l'assistance judiciaire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