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PS/83/2022 vom 23. Januar 2023</w:t>
      </w:r>
    </w:p>
    <w:p>
      <w:r>
        <w:t>GE Cour de justice, 2023-01-23, FR</w:t>
      </w:r>
    </w:p>
    <w:p>
      <w:r>
        <w:rPr>
          <w:b/>
        </w:rPr>
        <w:t xml:space="preserve">Quelle: </w:t>
      </w:r>
      <w:r>
        <w:t>https://mcp.opencaselaw.ch/entscheid/ge_gerichte_PS_83_2022</w:t>
      </w:r>
    </w:p>
    <w:p>
      <w:r>
        <w:t>FR: GE_GERICHTE PS/83/2022 du 23 janvier 2023</w:t>
      </w:r>
    </w:p>
    <w:p>
      <w:r>
        <w:t>IT: GE_GERICHTE PS/83/2022 del 23 gennaio 2023</w:t>
      </w:r>
    </w:p>
    <w:p>
      <w:pPr>
        <w:pStyle w:val="Heading2"/>
      </w:pPr>
      <w:r>
        <w:t>Regeste</w:t>
      </w:r>
    </w:p>
    <w:p>
      <w:r>
        <w:t>NULLITÉ;ANNULABILITÉ;FORCE FORMELLE;EFFET SUSPENSIF | CPP.402; CPP.437</w:t>
      </w:r>
    </w:p>
    <w:p>
      <w:pPr>
        <w:pStyle w:val="Heading2"/>
      </w:pPr>
      <w:r>
        <w:t>Erwägungen</w:t>
      </w:r>
    </w:p>
    <w:p>
      <w:r>
        <w:rPr>
          <w:b/>
        </w:rPr>
        <w:t>E. 2</w:t>
      </w:r>
    </w:p>
    <w:p>
      <w:r>
        <w:t>e éd., Bâle 2019, n. 44 ad art. 437);![endif]&gt;![if&gt; -          en l'espèce, tel n’était pas le cas de la décision d’expulsion que l’autorité administrative intimée entendait ne pas différer;![endif]&gt;![if&gt; -          la procédure d’appel confère, en effet, de plein droit un effet suspensif aux points contestés des décisions rendues par le tribunal de première instance (art. 402 CPP), et le recourant avait en particulier fait porter son appel sur l’expulsion judiciaire;![endif]&gt;![if&gt; -          la conclusion subsidiaire du recours s’avère par conséquent bien-fondée, indépendamment du rejet de l’appel le 15 décembre 2022;![endif]&gt;![if&gt; -          la décision attaquée sera annulée;![endif]&gt;![if&gt; -          les frais seront laissés à la charge de l’État;![endif]&gt;![if&gt; -          le recourant, qui a gain de cause, réclame, relevé d’activité à l’appui, une indemnité de CHF 969,31 TTC pour deux heures d’activité de son défenseur;![endif]&gt;![if&gt; -          cette indemnité, qui apparaît conforme à la difficulté de la cause et au tarif admis par la Cour pénale,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