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PS/81/2025 vom 27. November 2025</w:t>
      </w:r>
    </w:p>
    <w:p>
      <w:r>
        <w:t>GE Cour de justice, 2025-11-27, FR</w:t>
      </w:r>
    </w:p>
    <w:p>
      <w:r>
        <w:rPr>
          <w:b/>
        </w:rPr>
        <w:t xml:space="preserve">Quelle: </w:t>
      </w:r>
      <w:r>
        <w:t>https://mcp.opencaselaw.ch/entscheid/ge_gerichte_PS_81_2025</w:t>
      </w:r>
    </w:p>
    <w:p>
      <w:r>
        <w:t>FR: GE_GERICHTE PS/81/2025 du 27 novembre 2025</w:t>
      </w:r>
    </w:p>
    <w:p>
      <w:r>
        <w:t>IT: GE_GERICHTE PS/81/2025 del 27 novembre 2025</w:t>
      </w:r>
    </w:p>
    <w:p>
      <w:pPr>
        <w:pStyle w:val="Heading2"/>
      </w:pPr>
      <w:r>
        <w:t>Regeste</w:t>
      </w:r>
    </w:p>
    <w:p>
      <w:r>
        <w:t>RÉCUSATION;DÉLAI;RETARD | CPP.56;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un membre du tribunal de première instance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prévenue dans la procédure P/1______/2023, dispose de la qualité pour agir (art. 58 al. 1 CPP).</w:t>
      </w:r>
    </w:p>
    <w:p>
      <w:r>
        <w:rPr>
          <w:b/>
        </w:rPr>
        <w:t>E. 2.1</w:t>
      </w:r>
    </w:p>
    <w:p>
      <w:r>
        <w:t>Conformément à l'art. 58 al. 1 CPP, la récusation doit être demandée sans délai, dès que la partie a connaissance du motif de récusation, soit dans les jours qui suivent la connaissance de la cause de récusation,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arrêt du Tribunal fédéral 1B_255/2021 du 27 juillet 2021 consid. 3.1). De jurisprudence constante, ces réquisits temporels sont satisfaits lorsque la demande de récusation est déposée dans les six à sept jours qui suivent la connaissance de la cause de récusation; en revanche, ils ne le sont pas lorsqu’elle est formée trois mois, deux mois, deux à trois semaines ou vingt jours plus tard (arrêt du Tribunal fédéral 1B_367/2021 du 29 novembre 2021 consid. 2.1 et les arrêts cités).</w:t>
      </w:r>
    </w:p>
    <w:p>
      <w:r>
        <w:rPr>
          <w:b/>
        </w:rPr>
        <w:t>E. 2.2</w:t>
      </w:r>
    </w:p>
    <w:p>
      <w:r>
        <w:t>En l'occurrence, le motif de récusation serait survenu à l'audience de jugement du 27 octobre 2025, présidée par B______. La requête, formée dix-sept jours plus tard, est manifestement tardive. À supposer que la requérante sollicite une restitution de délai au sens de l'art 94 CPP en raison de sa santé défaillante, elle n'établit nullement avoir été dans l'incapacité d'agir dans les jours qui ont suivi l'audience du 27 octobre 2025, étant souligné qu'elle a quitté l’hôpital le lendemain et qu’elle a écrit, le 12 novembre 2025, à la citée, sans soulever le moindre motif de récusation. Les certificats médicaux produits ne sont pas à même de modifier cette appréciation.</w:t>
      </w:r>
    </w:p>
    <w:p>
      <w:r>
        <w:rPr>
          <w:b/>
        </w:rPr>
        <w:t>E. 3</w:t>
      </w:r>
    </w:p>
    <w:p>
      <w:r>
        <w:t>Partant, la requête de récusation est irrecevable, constatation qui dispensait l'autorité de requérir l'avis de la magistrate concernée (art. 58 al. 2 CPP).</w:t>
      </w:r>
    </w:p>
    <w:p>
      <w:r>
        <w:rPr>
          <w:b/>
        </w:rPr>
        <w:t>E. 4</w:t>
      </w:r>
    </w:p>
    <w:p>
      <w:r>
        <w:t>En tant qu'elle succombe, la requérante supportera les frais de la procédure (art. 59 al. 4 CPP), fixés en totalité à CHF 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