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PS/80/2024 vom 10. Dezember 2024</w:t>
      </w:r>
    </w:p>
    <w:p>
      <w:r>
        <w:t>GE Cour de justice, 2024-12-10, FR</w:t>
      </w:r>
    </w:p>
    <w:p>
      <w:r>
        <w:rPr>
          <w:b/>
        </w:rPr>
        <w:t xml:space="preserve">Quelle: </w:t>
      </w:r>
      <w:r>
        <w:t>https://mcp.opencaselaw.ch/entscheid/ge_gerichte_PS_80_2024</w:t>
      </w:r>
    </w:p>
    <w:p>
      <w:r>
        <w:t>FR: GE_GERICHTE PS/80/2024 du 10 décembre 2024</w:t>
      </w:r>
    </w:p>
    <w:p>
      <w:r>
        <w:t>IT: GE_GERICHTE PS/80/2024 del 10 dicembre 2024</w:t>
      </w:r>
    </w:p>
    <w:p>
      <w:pPr>
        <w:pStyle w:val="Heading2"/>
      </w:pPr>
      <w:r>
        <w:t>Regeste</w:t>
      </w:r>
    </w:p>
    <w:p>
      <w:r>
        <w:t>RÉCUSATION | CPP.59.al1; CPP.58</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prévenu (art. 104 al. 1 let. a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De jurisprudence constante, les réquisits temporels de l'art. 58 al. 1 CPP sont ainsi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 du Tribunal fédéral 7B_143/2024 du 3 juin 2024 consid. 4.1.1 et les arrêts cités). Celui qui omet de se plaindre immédiatement de la prévention d'un magistrat et laisse la procédure se dérouler sans intervenir agit contrairement à la bonne foi et voit son droit se périmer (ATF 140 I 271 consid. 8.4.3 ; arrêts du Tribunal fédéral 1B_384/2017 du 10 janvier 2018 consid. 4.2 ; 6B_695/2014 du 22 décembre 2017 consid. 3.1). Il est en particulier contraire aux règles de la bonne foi de garder en réserve le moyen tiré d'une suspicion de prévention pour ne l'invoquer qu'en cas d'issue défavorable ou lorsque l'intéressé se serait rendu compte que l'instruction ne suivait pas le cours désiré (ATF 143 V 66 consid. 4.3 ; 139 III 120 consid. 3.2.1 ; arrêts du Tribunal fédéral 1B_598/2022 du 1B_163/2022 du 27 février 2023 consid. 3.1 ; 1B_13/2021 du 1 er juillet 2021 consid. 2).</w:t>
      </w:r>
    </w:p>
    <w:p>
      <w:r>
        <w:rPr>
          <w:b/>
        </w:rPr>
        <w:t>E. 2.2</w:t>
      </w:r>
    </w:p>
    <w:p>
      <w:r>
        <w:t>En l'espèce, la Chambre de céans constate d'emblée que la demande de récusation visant la Procureure B______ a été déposée plusieurs mois après que cette dernière ait rendu l'ordonnance de maintien, fondant, selon le requérant, une apparence de partialité. Elle est donc tardive et, partant, irrecevable. On ne voit pas au demeurant pas en quoi le fait pour la citée d'avoir maintenu son ordonnance pénale trahirait une quelconque prévention à l'endroit du requérant. La demande de récusation est également largement tardive et donc irrecevable, en tant que le requérant reproche à C______ d'avoir rédigé un acte d'accusation à son encontre plus de 30 ans auparavant, ce qui, selon lui, rendait cette dernière partiale. Les demandes de récusation sont irrecevables s'agissant des griefs avancés ici.</w:t>
      </w:r>
    </w:p>
    <w:p>
      <w:r>
        <w:rPr>
          <w:b/>
        </w:rPr>
        <w:t>E. 3</w:t>
      </w:r>
    </w:p>
    <w:p>
      <w:r>
        <w:t>Au vu de cette issue, il n'y avait pas à demander aux citées de prendre position avant de statuer (arrêts du Tribunal fédéral 7B_1/2024 du 28 février 2024 consid. 5.2 ; 1B_196/2023 du 27 avril 2023 consid. 4 et les références).</w:t>
      </w:r>
    </w:p>
    <w:p>
      <w:r>
        <w:rPr>
          <w:b/>
        </w:rPr>
        <w:t>E. 4</w:t>
      </w:r>
    </w:p>
    <w:p>
      <w:r>
        <w:t>En tant qu'il succombe, le requérant supportera les frais de la présence décision (art. 59 al. 4 CPP), fixés à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