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PS/78/2022 vom 8. Dezember 2022</w:t>
      </w:r>
    </w:p>
    <w:p>
      <w:r>
        <w:t>GE Cour de justice, 2022-12-08, FR</w:t>
      </w:r>
    </w:p>
    <w:p>
      <w:r>
        <w:rPr>
          <w:b/>
        </w:rPr>
        <w:t xml:space="preserve">Quelle: </w:t>
      </w:r>
      <w:r>
        <w:t>https://mcp.opencaselaw.ch/entscheid/ge_gerichte_PS_78_2022</w:t>
      </w:r>
    </w:p>
    <w:p>
      <w:r>
        <w:t>FR: GE_GERICHTE PS/78/2022 du 8 décembre 2022</w:t>
      </w:r>
    </w:p>
    <w:p>
      <w:r>
        <w:t>IT: GE_GERICHTE PS/78/2022 del 8 dicembre 2022</w:t>
      </w:r>
    </w:p>
    <w:p>
      <w:pPr>
        <w:pStyle w:val="Heading2"/>
      </w:pPr>
      <w:r>
        <w:t>Regeste</w:t>
      </w:r>
    </w:p>
    <w:p>
      <w:r>
        <w:t>RÉCUSATION;MINISTÈRE PUBLIC | CPP.56</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LOJ).![endif]&gt;![if&gt;</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En l’occurrence, il est établi que les requérants n’ont pas consulté le dossier après la décision du TMC, le 28 avril 2022, et qu’ils n’ont pas obtenu copie de certaines pièces avant le 3 octobre 2022. Leurs requêtes respectives, des 5 et 6 octobre 2022, ne sont donc pas tardives.![endif]&gt;![if&gt;</w:t>
      </w:r>
    </w:p>
    <w:p>
      <w:r>
        <w:rPr>
          <w:b/>
        </w:rPr>
        <w:t>E. 3</w:t>
      </w:r>
    </w:p>
    <w:p>
      <w:r>
        <w:t>Dans la mesure où elles visent la même pièce et se fondent sur le même complexe de faits, il y a lieu de joindre les requêtes – dont le contenu est similaire – et de statuer sur leur sort dans un seul et même arrêt.![endif]&gt;![if&gt;</w:t>
      </w:r>
    </w:p>
    <w:p>
      <w:r>
        <w:rPr>
          <w:b/>
        </w:rPr>
        <w:t>E. 4</w:t>
      </w:r>
    </w:p>
    <w:p>
      <w:r>
        <w:t>Que le cité ait quitté ses fonctions au Ministère public dans l’intervalle ne fait pas perdre d’intérêt juridique actuel au litige ( ACPR/666/2019 du 2 septembre 2019 ; ACPR/183/2019 du 6 mars 2019).![endif]&gt;![if&gt;</w:t>
      </w:r>
    </w:p>
    <w:p>
      <w:r>
        <w:rPr>
          <w:b/>
        </w:rPr>
        <w:t>E. 5</w:t>
      </w:r>
    </w:p>
    <w:p>
      <w:r>
        <w:t>Les requérants estiment que la partialité du cité contre eux serait démontrée par la note qu’ils ont découverte au dossier.</w:t>
      </w:r>
    </w:p>
    <w:p>
      <w:r>
        <w:rPr>
          <w:b/>
        </w:rPr>
        <w:t>E. 5.1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5.2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5.3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5.4</w:t>
      </w:r>
    </w:p>
    <w:p>
      <w:r>
        <w:t>En l'espèce, la note rédigée par le cité n’est pas datée, mais nécessairement postérieure à la décision du TMC, puisqu’elle s’y réfère. Or, le cité s’est plié à cette décision, puisque le dossier remis à la Chambre de céans comporte nombre de pièces dont des passages ont été occultés au liquide correcteur blanc. Que le mot « contourner » apparaisse malencontreux, dans le sens où il pourrait dénoter une volonté de ne pas se plier à la décision rendue, ne saurait faire oublier que le passage litigieux de la note est, en réalité, une question que le cité se posait à lui-même. Rien ne laisse supposer qu’il aurait effectivement cherché à mettre la main sur le message du 26 novembre 2020 en formulant une demande d’entraide auprès de la justice civile (art. 194 CPP). Y serait-il parvenu que le contenu de l’e-mail resterait couvert par l’interdiction de l’exploiter contre les requérants, pour cause de protection du secret professionnel d’avocat, et se verrait donc, à nouveau, occulté dans le dossier, voire retiré de la procédure. La décision du Tribunal pénal fédéral sur laquelle se fondent les requérants (BV.2019.2 du 15 avril 2019) ne leur est d’aucun secours. Les faits examinés avaient trait au comportement d’un enquêteur qui était parvenu, pendant l’instance en levée de scellés, à prendre connaissance par d’autres voies du document convoité. En la présente espèce, le cité n’a rien entrepris pour circonvenir l’instance de levée de scellés, ni pendant qu’elle se déroulait ni après qu’elle fut terminée, et la procédure par-devant le TMC ne portait pas sur les pièces produites à l’attention de la justice civile, mais sur des documents versés par la partie plaignante au dossier de la procédure pénale. Il importe donc peu que, dans leur arrêt du 17 janvier 2022, les juges des mesures provisionnelles aient considéré, jurisprudence du Tribunal fédéral à l’appui (arrêt 4A_633/2020 du 24 juin 2021 consid. 2), que l’e-mail en question, notamment, n’avait pas été obtenu de manière illicite, puisque le TMC devait s’attacher non pas à la provenance, mais au contenu de la pièce. Pour le surplus, le cité a quitté ses fonctions au Ministère public. Il ne pourra donc pas mettre à exécution les velléités que lui prêtent les requérants. Les requêtes seront ainsi rejetées.</w:t>
      </w:r>
    </w:p>
    <w:p>
      <w:r>
        <w:rPr>
          <w:b/>
        </w:rPr>
        <w:t>E. 6</w:t>
      </w:r>
    </w:p>
    <w:p>
      <w:r>
        <w:t>Les requérants, qui succombent, supporteront, solidairement (art. 418 al. 2 CPP),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