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PS/66/2025 vom 15. September 2025</w:t>
      </w:r>
    </w:p>
    <w:p>
      <w:r>
        <w:t>GE Cour de justice, 2025-09-15, FR</w:t>
      </w:r>
    </w:p>
    <w:p>
      <w:r>
        <w:rPr>
          <w:b/>
        </w:rPr>
        <w:t xml:space="preserve">Quelle: </w:t>
      </w:r>
      <w:r>
        <w:t>https://mcp.opencaselaw.ch/entscheid/ge_gerichte_PS_66_2025</w:t>
      </w:r>
    </w:p>
    <w:p>
      <w:r>
        <w:t>FR: GE_GERICHTE PS/66/2025 du 15 septembre 2025</w:t>
      </w:r>
    </w:p>
    <w:p>
      <w:r>
        <w:t>IT: GE_GERICHTE PS/66/2025 del 15 settembre 2025</w:t>
      </w:r>
    </w:p>
    <w:p>
      <w:pPr>
        <w:pStyle w:val="Heading2"/>
      </w:pPr>
      <w:r>
        <w:t>Regeste</w:t>
      </w:r>
    </w:p>
    <w:p>
      <w:r>
        <w:t>RÉCUSATION;EXPERT | CPP.56.letf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Lorsqu'est en cause la récusation d'un expert nommé par le ministère public, il appartient à l'autorité de recours, au sens des art. 20 al. 1 et 59 al. 1 let. b CPP, de statuer (arrêts du Tribunal fédéral 1B_488/2011 du 2 décembre 2011 consid. 1.1 et 1B_243/2012 du 9 mai 2012 consid. 1.1), de sorte que la Chambre de céans est compétente à raison de la matière ( ACPR/491/2012 du 14 novembre 2012).</w:t>
      </w:r>
    </w:p>
    <w:p>
      <w:r>
        <w:rPr>
          <w:b/>
        </w:rPr>
        <w:t>E. 1.2</w:t>
      </w:r>
    </w:p>
    <w:p>
      <w:r>
        <w:t>En tant que partie plaignante, A______ a qualité pour agir (art. 104 al. 1 let. b CPP et, par analogie, 58 al. 1 CPP). 1.3.1. La demande de récusation doit être présentée sans délai par les parties dès qu'elles ont connaissance d'un motif de récusation (art. 58 al. 1 CPP), soit dans les jours qui suivent la connaissance du motif de récusation (arrêt du Tribunal fédéral 1B_601/2011 du 22 décembre 2011 consid. 1.2.1), sous peine de déchéance (ATF 138 I 1 consid. 2.2). La jurisprudence admet le dépôt d'une demande de récusation six à sept jours après la connaissance des motifs mais considère qu'une demande déposée deux à trois semaines après est tardive (L. MOREILLON / A. PAREIN-REYMOND, Petit commentaire du code de procédure pénale,</w:t>
      </w:r>
    </w:p>
    <w:p>
      <w:r>
        <w:rPr>
          <w:b/>
        </w:rPr>
        <w:t>E. 3</w:t>
      </w:r>
    </w:p>
    <w:p>
      <w:r>
        <w:t>Au vu de ce qui précède, il n’existe pas de motif justifiant la récusation des experts, au sens de l’art. 56 let. f CPP, a fortiori à l'annulation de l'expertise (cf. art. 60 al. 1 CPP a contrario). La requête en récusation et la demande d'annulation du rapport d'expertise, infondées, seront ainsi rejetées.</w:t>
      </w:r>
    </w:p>
    <w:p>
      <w:r>
        <w:rPr>
          <w:b/>
        </w:rPr>
        <w:t>E. 4</w:t>
      </w:r>
    </w:p>
    <w:p>
      <w:r>
        <w:t>Vu l'issue de la cause, point n'était besoin de demander aux experts de prendre position, au sens de l'art. 58 al. 2 CPP, avant de statuer (arrêts du Tribunal fédéral 7B_1/2024 du 28 février 2024 consid. 5.2 et 1B_196/2023 du 27 avril 2023 consid. 4 et les références), étant précisé que cette disposition n'est impérative qu'en tant qu'elle vise en particulier à permettre l'établissement des faits. Or, ceux-ci sont clairs et n'appelaient aucune précision de leur part. Il s'ensuit que la requête de récusation doit être rejetée, ainsi que les autres conclusions.</w:t>
      </w:r>
    </w:p>
    <w:p>
      <w:r>
        <w:rPr>
          <w:b/>
        </w:rPr>
        <w:t>E. 5</w:t>
      </w:r>
    </w:p>
    <w:p>
      <w:r>
        <w:t>La requérante, qui succombe, supportera les frais de la procédure, fixés en totalité à CHF 900.- (art. 59 al. 4 CPP; art. 418 al. 2 CPP; art. 13 al. 1 let. b. du Règlement fixant le tarif des frais en matière pénale, RTFMP; E 4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