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PS/57/2022 vom 7. Februar 2023</w:t>
      </w:r>
    </w:p>
    <w:p>
      <w:r>
        <w:t>GE Cour de justice, 2023-02-07, FR</w:t>
      </w:r>
    </w:p>
    <w:p>
      <w:r>
        <w:rPr>
          <w:b/>
        </w:rPr>
        <w:t xml:space="preserve">Quelle: </w:t>
      </w:r>
      <w:r>
        <w:t>https://mcp.opencaselaw.ch/entscheid/ge_gerichte_PS_57_2022</w:t>
      </w:r>
    </w:p>
    <w:p>
      <w:r>
        <w:t>FR: GE_GERICHTE PS/57/2022 du 7 février 2023</w:t>
      </w:r>
    </w:p>
    <w:p>
      <w:r>
        <w:t>IT: GE_GERICHTE PS/57/2022 del 7 febbraio 2023</w:t>
      </w:r>
    </w:p>
    <w:p>
      <w:pPr>
        <w:pStyle w:val="Heading2"/>
      </w:pPr>
      <w:r>
        <w:t>Regeste</w:t>
      </w:r>
    </w:p>
    <w:p>
      <w:r>
        <w:t>TRANSFERT(EN GÉNÉRAL);EXÉCUTION DES PEINES ET DES MESURES;ÉTABLISSEMENT PÉNITENTIAIRE;CHOIX(EN GÉNÉRAL);RESPECT DE LA VIE FAMILIALE | Cst.13; CEDH.8</w:t>
      </w:r>
    </w:p>
    <w:p>
      <w:pPr>
        <w:pStyle w:val="Heading2"/>
      </w:pPr>
      <w:r>
        <w:t>Erwägungen</w:t>
      </w:r>
    </w:p>
    <w:p>
      <w:r>
        <w:rPr>
          <w:b/>
        </w:rPr>
        <w:t>E. 1.1</w:t>
      </w:r>
    </w:p>
    <w:p>
      <w:r>
        <w:t>La décision querellée, qui porte sur le choix d'un établissement à un moment donné du parcours carcéral du recourant, a été prise par l'autorité habilitée à la prendre, soit le SAPEM, de sorte que la Chambre de céans est compétente pour en connaître (cf. ACPR/606/2018 du 26 octobre 2018 consid. 1). ![endif]&gt;![if&gt;</w:t>
      </w:r>
    </w:p>
    <w:p>
      <w:r>
        <w:rPr>
          <w:b/>
        </w:rPr>
        <w:t>E. 1.2</w:t>
      </w:r>
    </w:p>
    <w:p>
      <w:r>
        <w:t>L'acte de recours a, en outre, été déposé selon la forme et le délai prescrits (art. 385 al. 1 et 396 al. 1 CPP). ![endif]&gt;![if&gt;</w:t>
      </w:r>
    </w:p>
    <w:p>
      <w:r>
        <w:rPr>
          <w:b/>
        </w:rPr>
        <w:t>E. 2</w:t>
      </w:r>
    </w:p>
    <w:p>
      <w:r>
        <w:t>Reste à déterminer si le recourant dispose d'un intérêt juridiquement protégé à recourir (art. 382 CPP).![endif]&gt;![if&gt;</w:t>
      </w:r>
    </w:p>
    <w:p>
      <w:r>
        <w:rPr>
          <w:b/>
        </w:rPr>
        <w:t>E. 2.1</w:t>
      </w:r>
    </w:p>
    <w:p>
      <w:r>
        <w:t>Le détenu n'a pas, en principe, le droit de choisir le lieu de l'exécution de la sanction (arrêts du Tribunal fédéral 6B_530/2012 du 19 décembre 2012 consid. 1; 6B_602/2012 du 18 décembre 2012 consid. 1; 6B_660/2011 du 23 février 2012 consid. 1.2).</w:t>
      </w:r>
    </w:p>
    <w:p>
      <w:r>
        <w:rPr>
          <w:b/>
        </w:rPr>
        <w:t>E. 2.2</w:t>
      </w:r>
    </w:p>
    <w:p>
      <w:r>
        <w:t>En l'espèce, le recourant invoque une violation de son droit au respect de sa vie privée et familiale, au sens des art. 8 CEDH et 13 Cst, considérant la décision de transfert comme un obstacle à ses liens familiaux. Dans cette mesure, il se prévaut d'un intérêt juridiquement protégé (arrêt du Tribunal fédéral 6B_80/2014 du 20 mars 2014 consid. 1.2).</w:t>
      </w:r>
    </w:p>
    <w:p>
      <w:r>
        <w:rPr>
          <w:b/>
        </w:rPr>
        <w:t>E. 2.3</w:t>
      </w:r>
    </w:p>
    <w:p>
      <w:r>
        <w:t>Partant, le recours est ainsi recevable.</w:t>
      </w:r>
    </w:p>
    <w:p>
      <w:r>
        <w:rPr>
          <w:b/>
        </w:rPr>
        <w:t>E. 3</w:t>
      </w:r>
    </w:p>
    <w:p>
      <w:r>
        <w:t>Les pièces nouvelles sont également recevables (arrêt du Tribunal fédéral 1B_368/2014 du 5 février 2015 consid. 3.2. in fine ). ![endif]&gt;![if&gt;</w:t>
      </w:r>
    </w:p>
    <w:p>
      <w:r>
        <w:rPr>
          <w:b/>
        </w:rPr>
        <w:t>E. 4</w:t>
      </w:r>
    </w:p>
    <w:p>
      <w:r>
        <w:t>Le recourant soutient que l'exécution de sa peine au sein du pénitencier de E______ des B______ rendrait extrêmement difficile, voire illusoire, la reprise de l'exercice de ses relations personnelles avec ses enfants. ![endif]&gt;![if&gt;</w:t>
      </w:r>
    </w:p>
    <w:p>
      <w:r>
        <w:rPr>
          <w:b/>
        </w:rPr>
        <w:t>E. 4.1</w:t>
      </w:r>
    </w:p>
    <w:p>
      <w:r>
        <w:t>Sous l'angle de la protection de la sphère privée et familiale, l’art. 8 CEDH ne garantit pas aux détenus le droit de choisir leur lieu de détention (arrêts du Tribunal fédéral 6B_1218/2018 du 14 janvier 2019 consid. 3.1; 6B_832/2018 du 22 octobre 2018 consid. 1). De manière plus générale, selon le Tribunal fédéral, le détenu n'a pas, en principe, le droit de choisir le lieu de l'exécution de la sanction (arrêt du Tribunal fédéral 6B_602/2012 du 18 décembre 2012 consid. 1). En d’autres termes, le détenu qui sollicite son transfert – ou s’y oppose – doit expliquer pour quels motifs exceptionnels un tel transfert devrait avoir lieu – ou ne pas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(arrêts précités). L'art. 84 al. 1 CP, qui consacre le droit de recevoir des visites et d'entretenir des relations personnelles avec le monde extérieur, n'accorde pas sous cet angle une protection plus étendue que le droit conventionnel et constitutionnel (arrêt du Tribunal fédéral 6B_80/2014 du 20 mars 2014 consid. 1.3).![endif]&gt;![if&gt;</w:t>
      </w:r>
    </w:p>
    <w:p>
      <w:r>
        <w:rPr>
          <w:b/>
        </w:rPr>
        <w:t>E. 4.2</w:t>
      </w:r>
    </w:p>
    <w:p>
      <w:r>
        <w:t>supra , le grief du recourant était dépourvu de fondement et, partant, son recours dénué de toute chance de succès. Il ne saurait ainsi être mis au bénéfice d'une prise en charge des honoraires de son avocat pour la procédure de recours. ![endif]&gt;![if&gt; * * * * *</w:t>
      </w:r>
    </w:p>
    <w:p>
      <w:r>
        <w:rPr>
          <w:b/>
        </w:rPr>
        <w:t>E. 5</w:t>
      </w:r>
    </w:p>
    <w:p>
      <w:r>
        <w:t>Justifiée, la décision querellée sera donc confirmée. ![endif]&gt;![if&gt;</w:t>
      </w:r>
    </w:p>
    <w:p>
      <w:r>
        <w:rPr>
          <w:b/>
        </w:rPr>
        <w:t>E. 6</w:t>
      </w:r>
    </w:p>
    <w:p>
      <w:r>
        <w:t>Le recourant, qui succombe, supportera les frais envers l'État, qui seront fixés en totalité à CHF 600.- (art. 428 al. 1 CPP et 13 al. 1 du Règlement fixant le tarif des frais en matière pénale, RTFMP ; E 4 10.03).![endif]&gt;![if&gt;</w:t>
      </w:r>
    </w:p>
    <w:p>
      <w:r>
        <w:rPr>
          <w:b/>
        </w:rPr>
        <w:t>E. 7</w:t>
      </w:r>
    </w:p>
    <w:p>
      <w:r>
        <w:t>Le recourant a été mis au bénéfice d'une défense obligatoire et son mandataire désigné comme défenseur d'office par le Ministère public dans le cadre de la P/2______/2016, actuellement pendante devant la Chambre pénale d'appel et de révision de la Cour de justice. ![endif]&gt;![if&gt;</w:t>
      </w:r>
    </w:p>
    <w:p>
      <w:r>
        <w:rPr>
          <w:b/>
        </w:rPr>
        <w:t>E. 7.1</w:t>
      </w:r>
    </w:p>
    <w:p>
      <w:r>
        <w:t>Selon la jurisprudence,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 examinée qu'avec une certaine retenue. Ceci vaut également lorsque le ministère public a, dans le cadre de la procédure principale, désigné un défenseur d'office au prévenu qui se trouve dans un cas de défense obligatoire (art. 132 al. 1 let. a en lien avec l'art. 130 CPP ; arrêt du Tribunal fédéral 1B_516/2020 du 3 novembre 2020 consid. 5.1). ![endif]&gt;![if&gt;</w:t>
      </w:r>
    </w:p>
    <w:p>
      <w:r>
        <w:rPr>
          <w:b/>
        </w:rPr>
        <w:t>E. 7.2</w:t>
      </w:r>
    </w:p>
    <w:p>
      <w:r>
        <w:t>La désignation d'un conseil d'office pour la procédure pénale principale n'est pas un blanc-seing pour introduire des recours aux frais de l'État, y compris contre des décisions de détention provisoire (ATF 139 I 206 consid. 3.3.1; arrêts 1B_31/2022 du 11 février 2022 consid. 4.2; 1B_516/2020 précité consid. 5.1; 1B_164/2017 du 15 août 2017 consid. 2 ; 1B_648/2022 du 19 janvier 2023 consid. 4.2).![endif]&gt;![if&gt;</w:t>
      </w:r>
    </w:p>
    <w:p>
      <w:r>
        <w:rPr>
          <w:b/>
        </w:rPr>
        <w:t>E. 7.3</w:t>
      </w:r>
    </w:p>
    <w:p>
      <w:r>
        <w:t>En l'espèce, au vu des considérations développées au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