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PS/52/2019 vom 2. September 2019</w:t>
      </w:r>
    </w:p>
    <w:p>
      <w:r>
        <w:t>GE Cour de justice, 2019-09-02, FR</w:t>
      </w:r>
    </w:p>
    <w:p>
      <w:r>
        <w:rPr>
          <w:b/>
        </w:rPr>
        <w:t xml:space="preserve">Quelle: </w:t>
      </w:r>
      <w:r>
        <w:t>https://mcp.opencaselaw.ch/entscheid/ge_gerichte_PS_52_2019</w:t>
      </w:r>
    </w:p>
    <w:p>
      <w:r>
        <w:t>FR: GE_GERICHTE PS/52/2019 du 2 septembre 2019</w:t>
      </w:r>
    </w:p>
    <w:p>
      <w:r>
        <w:t>IT: GE_GERICHTE PS/52/2019 del 2 settembre 2019</w:t>
      </w:r>
    </w:p>
    <w:p>
      <w:pPr>
        <w:pStyle w:val="Heading2"/>
      </w:pPr>
      <w:r>
        <w:t>Regeste</w:t>
      </w:r>
    </w:p>
    <w:p>
      <w:r>
        <w:t>RÉCUSATION | CPP.56</w:t>
      </w:r>
    </w:p>
    <w:p>
      <w:pPr>
        <w:pStyle w:val="Heading2"/>
      </w:pPr>
      <w:r>
        <w:t>Erwägungen</w:t>
      </w:r>
    </w:p>
    <w:p>
      <w:r>
        <w:rPr>
          <w:b/>
        </w:rPr>
        <w:t>E. 1</w:t>
      </w:r>
    </w:p>
    <w:p>
      <w:r>
        <w:t>Partie à la procédure, en tant que partie plaignante (art. 104 al. 1 let. b CPP), le requérant a qualité pour agir (art. 58 al. 1 CPP), et la Chambre de céans est compétente pour connaître de sa requête, dirigée contre un membre du ministère public (art. 59 al. 1 let. b CPP et 128 al. 2 let. a LOJ). Même si le cité a quitté ses fonctions dans l'intervalle, le requérant conserve un intérêt juridiquement protégé à voir trancher sa demande, dès lors que, si la récusation était admise, des actes accomplis par le cité pourraient être annulés ou répétés (art. 60 al. 1 CPP; cf. ACPR/183/2019 ).</w:t>
      </w:r>
    </w:p>
    <w:p>
      <w:r>
        <w:rPr>
          <w:b/>
        </w:rPr>
        <w:t>E. 2</w:t>
      </w:r>
    </w:p>
    <w:p>
      <w:r>
        <w:t>Le requérant estime que le cité a fait preuve de favoritisme et de manque d'indépendance, visant à protéger " ses parties adverses ", soit, si on le comprend bien, E______ et D______.</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 3 e éd., Zurich 2017, n. 14 ad art. 56).</w:t>
      </w:r>
    </w:p>
    <w:p>
      <w:r>
        <w:rPr>
          <w:b/>
        </w:rPr>
        <w:t>E. 2.2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du Tribunal fédéral 1B_150/2016 du 19 mai 2016 consid. 2.3 et l'arrêt citée). Ces garanties sont en particulier primordiales lorsque la personne est susceptible d'être confrontée dans la suite de la procédure au procureur en charge de la cause (arrêt du Tribunal fédéral 1B_180/2017 du 21 juin 2017 consid. 1.2.3). Des actes de procédure menés en violation des droits d'une partie pourraient être considérés comme une forme de préjugé à son encontre ( ACPR/292/2011 du 14 octobre 2011 consid. 2.1.). Un seul comportement litigieux peut suffire pour démontrer une apparence de prévention, ce qu'il faut apprécier en fonction des circonstances (arrêt du Tribunal fédéral 1B_384/2017 du 10 janvier 2018 consid. 4.3).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 2.3. p. 146).</w:t>
      </w:r>
    </w:p>
    <w:p>
      <w:r>
        <w:rPr>
          <w:b/>
        </w:rPr>
        <w:t>E. 2.3</w:t>
      </w:r>
    </w:p>
    <w:p>
      <w:r>
        <w:t>À l'aune de ces principes, la requête est mal-fondée. À titre liminaire, l'objet du litige paraît prima facie limité par le comportement ou l'attitude prêtés au cité dans la conduite de la procédure P/1______/2018, mais le requérant n'a de cesse d'y introduire des éléments tirés de la procédure P/2______/2007. Dans cette procédure-là, le cité, depuis le rejet des demandes de récusation le visant, a attaqué au Tribunal fédéral le prononcé rendu le 14 décembre 2018 sur recours du requérant. Emprunter une voie de droit a priori ouverte au ministère public (cf. art. 81 al. 1 let. b ch. 3 LTF) ne saurait en tant que tel manifester de l'hostilité à l'encontre du prévenu concerné. Par ailleurs, le refus du cité d'exécuter ce prononcé cantonal a pu être contesté par la voie du recours au sens des art. 393 CPP - et l'a été. Que ce refus ait été désavoué par la Chambre de céans (en ce qui concerne C______) ne revêt pas le poids de la faute " lourde " qu'y voit le requérant, mais procède d'une analyse différente des conditions et limites de l'entrée en force d'une décision cantonale de dernière instance en matière pénale. Par conséquent, point n'est besoin de s'attarder sur l'éventuelle tardiveté du grief. Pour le surplus, on ne saurait admettre que, par le détour d'une autre procédure en cours au niveau cantonal, le requérant revienne sur des motifs de récusation qui ont été définitivement écartés par les juridictions compétentes dans le contexte d'une autre procédure, terminée sur le plan cantonal. Il en va ainsi, en particulier, de la destruction de pièces et des discussions ex parte , circonstances sur lesquelles le requérant s'appesantit en vain : contrairement à ce qu'il affirme, le Tribunal fédéral n'y a justement pas vu matière à récusation, relevant que les documents concernés n'avaient pas été utilisés à son détriment et que la confidentialité de pourparlers du cité avec certains prévenus pouvait impliquer que les autres prévenus, dont lui, n'aient pas eu connaissance du contenu des discussions tenues, mais uniquement de leur résultat (arrêt 5______/2018 consid. 6.4 rendu dans la procédure P/2______/2007). Certes, le requérant fonde maintenant son accusation d'un " dossier parallèle ", déjà soulevée dans cette procédure (cf. ACPR/766/2018 ), sur sa conviction que des courriers auraient été obligatoirement échangés en vue de l'exécution des créances compensatrices mises à la charge de D______ et E______, mais que le cité ne les aurait pas versés au dossier. Que le magistrat n'ait pas (encore) entrepris de démarches à ce propos ne saurait forcément surprendre : il n'avait pas davantage agi en vue de lever le séquestre du compte dont le requérant est l'ayant droit économique, s'étant retranché derrière la litispendance au Tribunal fédéral. On ne voit pas en quoi son inaction en vue de recouvrer les créances compensatrices dues par d'autres prévenus se serait exercée en défaveur du requérant, qui, dans la procédure P/2______/2007, n'était - précisément - pas un lésé, au sens de l'art. 73 al. 1 CP. Dans le cadre de la procédure P/1______/2018, le requérant n'apporte aucun élément susceptible d'accréditer un manquement du cité pendant qu'il était chargé d'instruire cette procédure subséquente. Il se plaint essentiellement que le magistrat n'a pas voulu séquestrer actions et dividendes et se refuse à instruire. Mais il ne saurait utiliser, pour ce faire, la voie de la récusation : là encore, une voie juridictionnelle, au sens de l'art. 393 al. 1 let. a CPP, était à sa disposition - et il l'a utilisée, sur le premier point litigieux. Comme il s'estime, en outre, victime d'un refus d'instruire, constitutif d'un déni de justice, le recours, sur ce point aussi, lui était ouvert contre l'inaction reprochée au cité (art. 393 al. 2 let. a CPP).</w:t>
      </w:r>
    </w:p>
    <w:p>
      <w:r>
        <w:rPr>
          <w:b/>
        </w:rPr>
        <w:t>E. 3</w:t>
      </w:r>
    </w:p>
    <w:p>
      <w:r>
        <w:t>Il résulte de ce qui précède que la requête doit être écartée sous tous ses aspects.</w:t>
      </w:r>
    </w:p>
    <w:p>
      <w:r>
        <w:rPr>
          <w:b/>
        </w:rPr>
        <w:t>E. 4</w:t>
      </w:r>
    </w:p>
    <w:p>
      <w:r>
        <w:t>Vu l'issue de la cause, les frais de la procédure, qui comprendront un émolument de CHF 1'500.- (art. 13 al. 1 let. b. du Règlement fixant le tarif des frais en matière pénale, RTFMP; E 4 10.03), seront mis à la charge du requérant (art. 59 al. 4, 2 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