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PS/48/2020 vom 1. Oktober 2020</w:t>
      </w:r>
    </w:p>
    <w:p>
      <w:r>
        <w:t>GE Cour de justice, 2020-10-01, FR</w:t>
      </w:r>
    </w:p>
    <w:p>
      <w:r>
        <w:rPr>
          <w:b/>
        </w:rPr>
        <w:t xml:space="preserve">Quelle: </w:t>
      </w:r>
      <w:r>
        <w:t>https://mcp.opencaselaw.ch/entscheid/ge_gerichte_PS_48_2020</w:t>
      </w:r>
    </w:p>
    <w:p>
      <w:r>
        <w:t>FR: GE_GERICHTE PS/48/2020 du 1 octobre 2020</w:t>
      </w:r>
    </w:p>
    <w:p>
      <w:r>
        <w:t>IT: GE_GERICHTE PS/48/2020 del 1 ottobre 2020</w:t>
      </w:r>
    </w:p>
    <w:p>
      <w:pPr>
        <w:pStyle w:val="Heading2"/>
      </w:pPr>
      <w:r>
        <w:t>Regeste</w:t>
      </w:r>
    </w:p>
    <w:p>
      <w:r>
        <w:t>RÉCUSATION | CPP.56;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ou partie plaignante aux procédures pendantes (art. 104 al. 1 let. a et b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requérante a agi, dans ses deux requêtes, aussitôt qu'elle a appris que les procédures concernées avaient été attribuées au cité. Partant, elles sont recevables.</w:t>
      </w:r>
    </w:p>
    <w:p>
      <w:r>
        <w:rPr>
          <w:b/>
        </w:rPr>
        <w:t>E. 3</w:t>
      </w:r>
    </w:p>
    <w:p>
      <w:r>
        <w:t>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3.2</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w:t>
      </w:r>
    </w:p>
    <w:p>
      <w:r>
        <w:rPr>
          <w:b/>
        </w:rPr>
        <w:t>E. 3.3</w:t>
      </w:r>
    </w:p>
    <w:p>
      <w:r>
        <w:t>Reprocher à une autorité de faire son travail ne constitue pas un grief de nature à fonder sa récusation (ATF 138 IV p. 142 consid. 2.2.2. p. 145 ; ACPR/39/2013 du 29 janvier 2013). La conduite de l'instruction et les décisions prises à l'issue de celle-ci doivent être contestées par les voies de recours ordinaires (arrêt du Tribunal fédéral 1B_292/2012 du 13 août 2012 consid. 3.2 ; ACPR/21/2013 du 16 janvier 2013).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(arrêt du Tribunal fédéral 1B_328/2015 du 11 novembre 2015 consid. 3.2). La jurisprudence exige cependant que l'issue de la seconde cause ne soit pas prédéterminée, mais qu'elle demeure indécise quant à la constatation des faits et à la résolution des questions juridiques (ATF 134 IV 289 consid. 6.2 p. 294 ; ATF 131 I 24 consid. 1.2 p. 26 ; arrêt du Tribunal fédéral 1B_282/2008 du 16 janvier 2009 consid. 2.4 et 2.5 publié in Pra 2009 94 635 ; arrêt du Tribunal fédéral 1B_430/2015 du 5 janvier 2016 consid. 3.2 = SJ 2017 I 49).</w:t>
      </w:r>
    </w:p>
    <w:p>
      <w:r>
        <w:rPr>
          <w:b/>
        </w:rPr>
        <w:t>E. 3.4</w:t>
      </w:r>
    </w:p>
    <w:p>
      <w:r>
        <w:t>En l'espèce, il a déjà été expliqué à la requérante, dans l' ACPR/426/2019 susmentionné, qu'elle ne peut fonder une demande de récusation sur le seul motif que le magistrat cité avait déjà instruit des procédures pénales dans lesquelles elle était partie ou rendu une ordonnance pénale contre elle. De même, le fait, pour le magistrat cité, d'instruire successivement des plaintes dirigées contre la requérante et des plaintes de celle-ci contre ses dénonciateurs ne constitue pas un motif de récusation, aucun élément concret ne permettant de mettre en doute la capacité du ______ [fonction] d'aborder chacune de ces procédures de manière impartiale. Que le cité ait suspendu l'instruction de la plainte déposée par la requérante contre les parents de son ex-compagnon n'est pas de nature à le rendre suspect de prévention, étant relevé que la précitée a recouru contre la décision du magistrat. Comme cela a déjà été dit dans l' ACPR/647/2018 , c'est en vain que la requérante souhaite, par la voie de la récusation, voir les procédures la concernant instruites par un autre ______ [fonction], le justiciable n'ayant pas le choix du magistrat instructeur ni ne pouvant s'immiscer dans l'organisation d'une juridiction.</w:t>
      </w:r>
    </w:p>
    <w:p>
      <w:r>
        <w:rPr>
          <w:b/>
        </w:rPr>
        <w:t>E. 4</w:t>
      </w:r>
    </w:p>
    <w:p>
      <w:r>
        <w:t>Les demandes de récusation seront donc rejetées.</w:t>
      </w:r>
    </w:p>
    <w:p>
      <w:r>
        <w:rPr>
          <w:b/>
        </w:rPr>
        <w:t>E. 5</w:t>
      </w:r>
    </w:p>
    <w:p>
      <w:r>
        <w:t>En tant qu'elle succombe, la requérante supportera les frais de la procédure (art. 59 al. 4 CPP) fixés en totalité à CHF 500.-,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