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PS/47/2024 vom 29. Juli 2024</w:t>
      </w:r>
    </w:p>
    <w:p>
      <w:r>
        <w:t>GE Cour de justice, 2024-07-29, FR</w:t>
      </w:r>
    </w:p>
    <w:p>
      <w:r>
        <w:rPr>
          <w:b/>
        </w:rPr>
        <w:t xml:space="preserve">Quelle: </w:t>
      </w:r>
      <w:r>
        <w:t>https://mcp.opencaselaw.ch/entscheid/ge_gerichte_PS_47_2024</w:t>
      </w:r>
    </w:p>
    <w:p>
      <w:r>
        <w:t>FR: GE_GERICHTE PS/47/2024 du 29 juillet 2024</w:t>
      </w:r>
    </w:p>
    <w:p>
      <w:r>
        <w:t>IT: GE_GERICHTE PS/47/2024 del 29 luglio 2024</w:t>
      </w:r>
    </w:p>
    <w:p>
      <w:pPr>
        <w:pStyle w:val="Heading2"/>
      </w:pPr>
      <w:r>
        <w:t>Regeste</w:t>
      </w:r>
    </w:p>
    <w:p>
      <w:r>
        <w:t>EXPERTISE;RÉCUSATION;EXPERT;RAPPORT DE SUBORDINATION | CPP.56.letf; CPP.58.al2</w:t>
      </w:r>
    </w:p>
    <w:p>
      <w:pPr>
        <w:pStyle w:val="Heading2"/>
      </w:pPr>
      <w:r>
        <w:t>Erwägungen</w:t>
      </w:r>
    </w:p>
    <w:p>
      <w:r>
        <w:rPr>
          <w:b/>
        </w:rPr>
        <w:t>E. 1.1</w:t>
      </w:r>
    </w:p>
    <w:p>
      <w:r>
        <w:t>Lorsqu’est en cause la récusation d’un expert nommé par le ministère public, il appartient à l’autorité de recours, au sens des art. 20 al. 1 et 59 al. 1 let. b CPP, de statuer (arrêts du Tribunal fédéral 1B_488/2011 du 2 décembre 2011 consid. 1.1 et 1B_243/2012 du 9 mai 2012 consid. 1.1), de sorte que la Chambre de céans est compétente à raison de la matière ( ACPR/491/2012 du 14 novembre 2012).</w:t>
      </w:r>
    </w:p>
    <w:p>
      <w:r>
        <w:rPr>
          <w:b/>
        </w:rPr>
        <w:t>E. 1.2</w:t>
      </w:r>
    </w:p>
    <w:p>
      <w:r>
        <w:t>En tant que partie plaignante, A______ a qualité pour agir (art. 104 al. 1 let. b CPP et, par analogie, 58 al. 1 CPP). 1.3.1. 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La jurisprudence admet le dépôt d'une demande de récusation six à sept jours après la connaissance des motifs mais considère qu'une demande déposée deux à trois semaines après est tardive (L. MOREILLON / A. PAREIN-REYMOND, Petit commentaire du code de procédure pénale , 2ème éd., Bâle 2016, N. 3 ad art. 58 CPP et références citées; arrêts du Tribunal fédéral 1B_14/2016 du 2 février 2016 consid. 2 et 1B_60/2014 du 1 er mai 2014 consid. 2.2). 1.3.2. En l'occurrence, le recourant s'est opposé, dans sa lettre du 25 juin 2024, soit dans le délai prolongé par le Ministère public pour ce faire, à la nomination des Prof. B______ et C______, ainsi que de la Dre D______. Or, il ressort du dossier que le pli adressé le 4 octobre 2023 par le CURML au Ministère public, annonçant le remplacement de la Dre G______ par la Dre D______, a été transmis au conseil du recourant le lendemain. Partant, sa demande de récusation contre cette dernière, formée plus de huit mois plus tard, est tardive, dès lors qu'il n'a pas jugé utile, en temps voulu, de formuler une quelconque remarque s'agissant du choix de cette experte. Pour le surplus, sa requête est recevable.</w:t>
      </w:r>
    </w:p>
    <w:p>
      <w:r>
        <w:rPr>
          <w:b/>
        </w:rPr>
        <w:t>E. 2.1</w:t>
      </w:r>
    </w:p>
    <w:p>
      <w:r>
        <w:t>L'art. 56 CPP – applicable aux experts par renvoi de l'art. 183 al. 3 CPP – énumère divers motifs de récusation aux lettres a à e, la lettre f imposant quant à elle la récusation lorsque d'autres motifs, notamment un rapport d'amitié étroit ou d'inimitié avec une partie ou son conseil, sont de nature à le rendre suspect de prévention. La lettre f de l'art. 56 CPP a la portée d'une clause générale recouvrant tous les motifs de récusation non expressément prévus aux lettres précédentes (ATF 138 IV 142 consid. 2.1; arrêt du Tribunal fédéral 1B_45/2015 du 29 avril 2015 consid. 2.1 et les références citées). L'art. 56 CPP concrétise les garanties déduites de l'art. 30 al. 1 Cst. Certes, dès lors que l'expert ne fait pas partie du tribunal, sa récusation ne s'examine pas au regard de l'art. 30 al. 1 Cst., mais sous l'angle de l'art. 29 al. 1 Cst. garantissant l'équité du procès (ATF 125 II 541 consid. 4a). Cette disposition assure toutefois au justiciable une protection équivalente à celle de l'art. 30 al. 1 Cst. s'agissant des exigences d'impartialité et d'indépendance requises d'un expert (ATF 127 I 196 consid. 2b; arrêt du Tribunal fédéral 1B_488/2011 du 2 décembre 2011 consid. 3.1). Les parties à une procédure ont donc le droit d'exiger la récusation d'un expert dont la situation ou le comportement sont de nature à faire naître un doute sur son impartialité. Cette garantie tend notamment à éviter que des circonstances extérieures à l'affaire puissent influencer le jugement en faveur ou au détriment d'une partie. Elle n'impose pas la récusation seulement lorsqu'une prévention effective est établie, car une disposition interne de la part de l'expert ne peut guère être prouvée; il suffit que les circonstances donnent l'apparence d'une prévention et fassent redouter une activité partiale. Cependant, seules les circonstances constatées objectivement doivent être prises en compte, les impressions purement individuelles n'étant pas décisives (ATF 140 III 221 consid. 4.1; ATF 139 III 433 consid. 2.1.1; ATF 138 IV 142 consid. 2.1; ATF 137 I 227 consid. 2.1 et les références citées). Il y a notamment motif à récusation lorsque l'expert affiche son antipathie à l'égard de l'une des parties par des gestes ou des propos déplacés; c'est également le cas s'il dit à des tiers qu'il estime le prévenu coupable, ou si, lors de sa nomination, il exprime déjà des opinions tranchées quant à l'issue de l'expertise (Y. JEANNERET / A. KUHN / C. PERRIER DEPEURSINGE (éds), Commentaire romand, Code de procédure pénale suisse , 2 ème éd., Bâle 2019, n. 19 ad art. 183 CPP). En revanche, l'appartenance à une autorité, à une institution ou à un organisme dont un autre membre est à l'origine de l'action pénale ou s'est prononcé en sa faveur ne suffit pas à faire naître un doute quant à l'impartialité de l'expert. Dans bien des cas, admettre le contraire limiterait de façon inacceptable la possibilité pour les tribunaux de recourir à une expertise. Dans le même sens, le fait qu'un expert doive se prononcer sur des déclarations faites par un collègue ne suffit pas à le récuser (Y. JEANNERET / A. KUHN / C. PERRIER DEPEURSINGE (éds), op. cit. , n. 23 ad art. 183 CPP et les références citées).</w:t>
      </w:r>
    </w:p>
    <w:p>
      <w:r>
        <w:rPr>
          <w:b/>
        </w:rPr>
        <w:t>E. 2.2</w:t>
      </w:r>
    </w:p>
    <w:p>
      <w:r>
        <w:t>En l'espèce, le recourant estime que l'appartenance des Prof. B______ et C______ (ci-après: les nouveaux experts) au CHUV les rendrait suspects de prévention, dès lors que le Prof. H______ (ci-après: le premier expert) exerce également au sein de cet établissement. De plus, ce dernier avait une position hiérarchiquement supérieure au premier cité. Force est toutefois de constater que les liens étroits visés par l'art. 56 let. f CPP concernent la personne visée par la demande – ici, les experts – et une partie à la procédure pénale ou son conseil. Or, en l'occurrence, le lien (supposé) dénoncé par le recourant ne concerne pas une partie. Quoiqu'il en soit, il ressort clairement des principes juridiques sus-rappelés que l'appartenance de l'expert à une institution ou un organisme dont un autre membre serait à l'origine de l'action pénale – ce qui n'est pas le cas ici – ne suffirait pas à faire naître un doute sur son impartialité, tout comme le fait qu'un expert doive se prononcer sur des déclarations faites par un collègue. Il s'ensuit que l'appartenance au CHUV du premier expert, mandaté pour établir l'expertise, ainsi que des nouveaux experts, nommés pour la compléter, ne suffit nullement à rendre ces derniers suspects de prévention. Rien ne permet en effet de penser que les nouveaux experts ne seraient pas en mesure de rédiger leur rapport en toute indépendance et avec toute l'objectivité requise, ni d'avoir un avis ou une approche différente de ceux exprimés par le premier expert. Qu'ils soient amenés à collaborer, dans le cadre de leurs activités professionnelles respectives, ne les prive pas d'emblée de cette indépendance, le rôle d'un expert étant précisément de s'extraire de sa fonction pour établir son rapport ( cf . pour un cas similaire, ACPR/319/2021 du 17 mai 2021 consid. 3.2, confirmé par l'arrêt du Tribunal fédéral 1B_338/2021 du 23 novembre 2021). Ainsi, les éléments soulevés par le recourant ne permettent plus, dans le cas présent, de douter de l'objectivité des nouveaux experts, ce d'autant qu'il n'apparait pas que la première expertise serait clairement insuffisante et inutilisable. En effet, le but du nouveau mandat sera précisément, pour les nouveaux experts, de compléter la première expertise, notamment en se prononçant, grâce à leurs connaissances spécifiques, sur les conclusions des experts privés ainsi que sur certaines éventuelles imprécisions ou erreurs relevées par ces derniers, lesquelles seraient, selon eux, liées au manque de spécialisation des premiers experts. Au vu de ce qui précède, il n’existe pas de motif justifiant la récusation des experts désignés, au sens de l’art. 56 let. f CPP. La requête en récusation, infondée, sera ainsi rejetée.</w:t>
      </w:r>
    </w:p>
    <w:p>
      <w:r>
        <w:rPr>
          <w:b/>
        </w:rPr>
        <w:t>E. 3</w:t>
      </w:r>
    </w:p>
    <w:p>
      <w:r>
        <w:t>Vu l'issue de la cause, point n'était besoin de solliciter leurs observations aux experts (art. 58 al. 2 CPP).</w:t>
      </w:r>
    </w:p>
    <w:p>
      <w:r>
        <w:rPr>
          <w:b/>
        </w:rPr>
        <w:t>E. 4</w:t>
      </w:r>
    </w:p>
    <w:p>
      <w:r>
        <w:t>En tant qu'il succombe, le requérant supportera les frais de la procédure qui comprennent un émolument de CHF 1'000.- (art. 59 al. 4 CPP; art. 418 al. 2 CPP; art. 13 al. 1 let. b.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