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PS/47/2018 vom 26. Juni 2018</w:t>
      </w:r>
    </w:p>
    <w:p>
      <w:r>
        <w:t>GE Cour de justice, 2018-06-26, FR</w:t>
      </w:r>
    </w:p>
    <w:p>
      <w:r>
        <w:rPr>
          <w:b/>
        </w:rPr>
        <w:t xml:space="preserve">Quelle: </w:t>
      </w:r>
      <w:r>
        <w:t>https://mcp.opencaselaw.ch/entscheid/ge_gerichte_PS_47_2018</w:t>
      </w:r>
    </w:p>
    <w:p>
      <w:r>
        <w:t>FR: GE_GERICHTE PS/47/2018 du 26 juin 2018</w:t>
      </w:r>
    </w:p>
    <w:p>
      <w:r>
        <w:t>IT: GE_GERICHTE PS/47/2018 del 26 giugno 2018</w:t>
      </w:r>
    </w:p>
    <w:p>
      <w:pPr>
        <w:pStyle w:val="Heading2"/>
      </w:pPr>
      <w:r>
        <w:t>Regeste</w:t>
      </w:r>
    </w:p>
    <w:p>
      <w:r>
        <w:t>RISQUE DE RÉCIDIVE | CP.59</w:t>
      </w:r>
    </w:p>
    <w:p>
      <w:pPr>
        <w:pStyle w:val="Heading2"/>
      </w:pPr>
      <w:r>
        <w:t>Erwägungen</w:t>
      </w:r>
    </w:p>
    <w:p>
      <w:r>
        <w:rPr>
          <w:b/>
        </w:rPr>
        <w:t>E. 1.1</w:t>
      </w:r>
    </w:p>
    <w:p>
      <w:r>
        <w:t>En vertu de l'art. 42 al. 1 let. a de la loi d’application du code pénal suisse et d’autres lois fédérales en matière pénale (LaCP; E 4 10), la Chambre pénale de recours de la Cour de justice connaît des recours dirigés contre les décisions rendues par le département de la sécurité, ses offices et ses services conformément à l’article 40 LaCP (art. 439 al. 1 CPP), les articles 379 à 397 CPP s’appliquant à titre de droit cantonal supplétif (art. 42 al. 2 LaCP). Pour le surplus, la loi sur la procédure administrative (LPA; RS E 5 10) est applicable (art. 40 al. 4 LaCP).</w:t>
      </w:r>
    </w:p>
    <w:p>
      <w:r>
        <w:rPr>
          <w:b/>
        </w:rPr>
        <w:t>E. 1.2</w:t>
      </w:r>
    </w:p>
    <w:p>
      <w:r>
        <w:t>Le recours est, en l'occurrence, dirigé contre une décision rendue par le SAPEM, dans une matière pour laquelle il est compétent (art. 40 al. 1 et 5 al. 1 let. d LaCP; art. 11 al. 1 let. e du règlement genevois sur l'exécution des peines privatives de liberté et des mesures entraînant une privation de liberté [REPM; E 4 55.05]). Le recours a par ailleurs été déposé selon la forme et dans le délai prescrits (art. 385 al. 1 et 396 al. 1 CPP, dispositions également applicables à titre de droit cantonal supplétif en vertu du renvoi de l'art. 42 al. 2 LaCP) et émane du condamné visé par la mesure institutionnelle, qui a qualité pour agir, ayant un intérêt juridiquement protégé à la modification ou à l'annulation de la décision querellée (art. 382 al. 1 CPP et 42 al. 2 LaCP). Il est dès lors recevable.</w:t>
      </w:r>
    </w:p>
    <w:p>
      <w:r>
        <w:rPr>
          <w:b/>
        </w:rPr>
        <w:t>E. 2</w:t>
      </w:r>
    </w:p>
    <w:p>
      <w:r>
        <w:t>Le recourant considère qu'il ne présente pas de risques avérés de fuite et de récidive au sens de l'art. 59 CP.</w:t>
      </w:r>
    </w:p>
    <w:p>
      <w:r>
        <w:rPr>
          <w:b/>
        </w:rPr>
        <w:t>E. 2.1</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6B_319/2017 du 28 septembre 2017 consid. 1.1; 6B_845/2016 du 29 juin 2017 consid. 3.1.2; 6B_1040/2015 du 29 juin 2016 consid. 5.1 et les arrêts cités).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simple fait pour un condamné de profiter d'un assouplissement des mesures de sécurité à son encontre pour essayer de s'enfuir n'entre pas en ligne de compte. Il en va de même lorsque l'intéressé tente de s'enfuir sur un coup de tête et sans aucune préparation préalable. Le risque de fuite devra être lié à la crainte que le condamné puisse représenter une menace envers les tiers une fois en liberté. Il s'agit ici de la dangerosité externe du prévenu (arrêts du Tribunal fédéral 6B_1045/2013 du 14 avril 2014 consid. 2.1.1; 6B_517/2012 du 21 janvier consid. 3.1.2; 6B_384/2010 du 15 septembre 2010 consid. 2.1.2 et 6B_629/2009 du 21 décembre 2009 consid. 1.2.2.2). Le risque de récidive doit être concret et hautement probable, c'est-à-dire résulter de l'appréciation d'une série de circonstances. Il vise cette fois la dangerosité interne du prévenu. Il s'agit d'un danger qui ne peut être combattu que par le placement dans un établissement fermé. Au regard du principe de la proportionnalité, le placement dans un établissement fermé ne peut être ordonné, respectivement maintenu,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l'art. 59 al. 3 CP ne devrait pas s'appliquer à de simples difficultés de comportement, l'insoumission vis-à-vis des employés de l'établissement ou la violation de règles internes de celui-ci sont, en soi, insuffisantes pour justifier le placement en milieu fermé (arrêts du Tribunal fédéral 6B_1040/2015 du 29 juin 2016 consid. 5.1 et 5.2; 6B_1045/2013 précité, 6B_538/2013 du 14 octobre 2013 consid. 3.1; 6B_372/2012 du 27 septembre 2012 consid. 2.3; 6B_205/2012 du 27 juillet 2012 consid. 3.2.2, 6B_384/2010 précité et 6B_629/2009 du 21 décembre 2009 consid. 1.2.2.2). 2.2.1 En l'espèce, s'il ressort du dossier que le recourant a fugué à plusieurs reprises, ces sorties furent de courte durée et l'on ne peut considérer que celle du 2 mai 2018, avec valise et radio, soit le reflet d'une volonté ferme et durable, au sens de la jurisprudence, de s'évader. Le risque de fuite a toujours été considéré comme étant faible au regard de ses attaches familiales avec la Suisse. Tout laisse penser que le recourant s'absentait sans autorisation pour pouvoir s'alcooliser mais non pour quitter la Suisse. Aucun risque de fuite avéré au sens de l'art. 59 CP ne peut être retenu en l'état. 2.2.2. Les médecins ont relevé que le recourant, depuis son retour à l'UHPP le 12 juin 2018, s'était montré tendu, nerveux, non preneur de soins, frustré de ne plus pouvoir sortir du domaine pour ses sorties habituelles et pour son travail. Il n'avait accepté de suivre sa prescription médicamenteuse qu'à la suite des explications répétées du corps médico-soignant. Il avait présenté un état de tension psychomotrice aiguë, verbalisant des intentions suicidaires en cas de frustration à la suite du refus clair de l’autoriser à passer plus de temps en dehors de l’Unité et a fait des allusions à des possibles passages à l’acte hétéro-agressifs. Dans ce contexte, les médecins n'ont cependant pas préconisé de placement en milieu fermé pour empêcher le recourant de continuer à fuguer et à s'alcooliser mais ils l'ont pris en charge en chambre sécurisée à l'unité ______. Ces événements, tout inacceptables qu'ils puissent être, ne permettent pas de considérer que le recourant représente une grave mise en danger pour la sécurité et l'ordre dans l'établissement dans lequel il se trouve, où à l'extérieur de celui-ci. Le risque de récidive inhérent à toute personne faisant l'objet d'une mesure thérapeutique (art. 56 al. 1 let. b CP) ne suffit pas à justifier un placement en milieu fermé au sens de l'art. 59 al. 3 CP. Les comportements visés, qui semblent faire craindre chez le recourant "l'apparition d'une pathologie non diagnostiquée" et une décompensation, ont justifié des adaptations de la mesure par les médecins, certes régulières. Cependant, aucun élément du dossier ne permet de retenir un danger concret pour la collectivité, à tout le moins en l'absence d'une expertise psychiatrique récente; une bagarre au sujet de laquelle aucun détail n'est fourni et des comportements agressifs envers le personnel soignant sans autre explication n'étaient pas suffisants pour justifier un retour en milieu fermé. Le placement en milieu fermé ne peut être une sanction face à un refus de respecter le cadre thérapeutique ni une solution face aux difficultés d'encadrement clinique. Les griefs sont fondés.</w:t>
      </w:r>
    </w:p>
    <w:p>
      <w:r>
        <w:rPr>
          <w:b/>
        </w:rPr>
        <w:t>E. 3</w:t>
      </w:r>
    </w:p>
    <w:p>
      <w:r>
        <w:t>Non justifiée, la décision querellée sera donc annulée.</w:t>
      </w:r>
    </w:p>
    <w:p>
      <w:r>
        <w:rPr>
          <w:b/>
        </w:rPr>
        <w:t>E. 4</w:t>
      </w:r>
    </w:p>
    <w:p>
      <w:r>
        <w:t>Vu l'issue du recours, les frais seront laissés à la charge de l'État (art. 428 al. 1 CPP).</w:t>
      </w:r>
    </w:p>
    <w:p>
      <w:r>
        <w:rPr>
          <w:b/>
        </w:rPr>
        <w:t>E. 5</w:t>
      </w:r>
    </w:p>
    <w:p>
      <w:r>
        <w:t>Le recourant demande la nomination d'office de son avocat.</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16 al. 1 RAJ fixe les taux horaires applicables aux défenseurs d'office en fonction de la position qu'ils occupent dans leur étude. Un avocat-stagiaire est rémunéré au tarif de CHF 110.-/heure (nouvel art. 16 al. 1 let. a RAJ applicable à tous les états de frais dont la taxation n'est pas définitive au 1 er octobre 2018 (art. 23 RAJ)) et le chef d'étude est rémunéré au tarif de CHF 200.-/heure, débours de l'étude inclus.</w:t>
      </w:r>
    </w:p>
    <w:p>
      <w:r>
        <w:rPr>
          <w:b/>
        </w:rPr>
        <w:t>E. 5.2</w:t>
      </w:r>
    </w:p>
    <w:p>
      <w:r>
        <w:t>Dans le cas présent, le recourant, détenu dans le cadre de l'exécution d'une peine, est très vraisemblablement indigent et la difficulté de la cause, portant sur une question juridique relative aux risques avérés de fuite et de réitération, justifiait le recours à l'assistance d'un avocat. Le recourant n'a pas déposé d'état de frais de son défenseur (art. 17 RAJ). Les observations de dix pages et la réplique de sept pages ont été signées par "______" soit Me J______, avocate-stagiaire, excusant Me C______, et rien ne permet de penser que la première citée ne les aurait pas rédigées. En application des principes exposés, la Chambre de céans estime ainsi adéquat d'arrêter le temps nécessaire à la défense des intérêts du recourant à 9 heures d'activité de stagiaire. L'indemnité due au défenseur d'office sera dès lors fixée à CHF 1'066.25.- (TVA à 7.7% comprise; art. 421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