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PS/43/2020 vom 2. Juli 2020</w:t>
      </w:r>
    </w:p>
    <w:p>
      <w:r>
        <w:t>GE Cour de justice, 2020-07-02, FR</w:t>
      </w:r>
    </w:p>
    <w:p>
      <w:r>
        <w:rPr>
          <w:b/>
        </w:rPr>
        <w:t xml:space="preserve">Quelle: </w:t>
      </w:r>
      <w:r>
        <w:t>https://mcp.opencaselaw.ch/entscheid/ge_gerichte_PS_43_2020</w:t>
      </w:r>
    </w:p>
    <w:p>
      <w:r>
        <w:t>FR: GE_GERICHTE PS/43/2020 du 2 juillet 2020</w:t>
      </w:r>
    </w:p>
    <w:p>
      <w:r>
        <w:t>IT: GE_GERICHTE PS/43/2020 del 2 luglio 2020</w:t>
      </w:r>
    </w:p>
    <w:p>
      <w:pPr>
        <w:pStyle w:val="Heading2"/>
      </w:pPr>
      <w:r>
        <w:t>Regeste</w:t>
      </w:r>
    </w:p>
    <w:p>
      <w:r>
        <w:t>RÉCUSATION;MINISTÈRE PUBLIC | CPP.56.letf; LOJ.2; LOJ.79</w:t>
      </w:r>
    </w:p>
    <w:p>
      <w:pPr>
        <w:pStyle w:val="Heading2"/>
      </w:pPr>
      <w:r>
        <w:t>Erwägungen</w:t>
      </w:r>
    </w:p>
    <w:p>
      <w:r>
        <w:rPr>
          <w:b/>
        </w:rPr>
        <w:t>E. 1.1</w:t>
      </w:r>
    </w:p>
    <w:p>
      <w:r>
        <w:t>La Chambre de céans est compétente pour connaître d'une requête en récusation dirigée contre un membre du ministère public (art. 59 al. 1 let. b CPP et 128 al. 2 let. a LOJ).</w:t>
      </w:r>
    </w:p>
    <w:p>
      <w:r>
        <w:rPr>
          <w:b/>
        </w:rPr>
        <w:t>E. 1.2</w:t>
      </w:r>
    </w:p>
    <w:p>
      <w:r>
        <w:t>Le requérant, qui s'estime lésé dans le cadre de la P/1______/2020, a déclaré vouloir se constituer partie plaignante. Quand bien même il n'a pas encore été statué sur sa qualité de partie à la procédure, sa qualité pour agir ici (art. 58 al. 1 CPP) peut rester ouverte, vu l'issue de la requête au fond.</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 3 e éd., Zurich 2017, n. 14 ad art. 56).</w:t>
      </w:r>
    </w:p>
    <w:p>
      <w:r>
        <w:rPr>
          <w:b/>
        </w:rPr>
        <w:t>E. 2.2</w:t>
      </w:r>
    </w:p>
    <w:p>
      <w:r>
        <w:t>En l'espèce, le requérant estime que la simple éventualité que B______ soit à l'origine des instructions données à des membres de la police de "trouver quelque chose" sur lui dans le cadre des investigations menées dans la P/2______/2018 suffirait à le rendre partial pour traiter la plainte de C______ contre ces mêmes policiers, dite procédure devant précisément déterminer qui a donné quel ordre et à qui. Autrement dit, B______ ne pourrait pas enquêter sur lui-même. Or, B______ n'instruit pas la P/2______/2018 dans laquelle les instructions décriées par C______ dans sa plainte, et sur lesquelles il s'agit d'enquêter, auraient été données. Partant, on ne saurait présumer que le magistrat précité y serait intervenu de quelque manière que ce soit. Quant à l'exploitation d'éléments de preuve résultant de la P/2______/2018 dans la P/3______/2017 à l'occasion de l'audition du requérant du 23 juin dernier - soit une conversation F______ entre lui et C______ -, on ne voit pas en quoi cet acte d'instruction, qui n'a du reste pas été conduit par B______, dénoterait une prévention de ce dernier à l'égard du requérant. Partant, il n'y a pas lieu de mettre en cause l'indépendance et l'impartialité de B______ dans l'instruction de la P/1______/2020.</w:t>
      </w:r>
    </w:p>
    <w:p>
      <w:r>
        <w:rPr>
          <w:b/>
        </w:rPr>
        <w:t>E. 3</w:t>
      </w:r>
    </w:p>
    <w:p>
      <w:r>
        <w:t>La requête, mal fondée, sera donc rejetée.</w:t>
      </w:r>
    </w:p>
    <w:p>
      <w:r>
        <w:rPr>
          <w:b/>
        </w:rPr>
        <w:t>E. 4</w:t>
      </w:r>
    </w:p>
    <w:p>
      <w:r>
        <w:t>Vu l'issue de la cause, les frais de la procédure, fixés en totalité à CHF 1'000.- (art. 13 al. 1 let. b. du Règlement fixant le tarif des frais en matière pénale, RTFMP; E 4 10.03), seront mis à la charge du requérant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