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PS/40/2023 vom 5. Juni 2023</w:t>
      </w:r>
    </w:p>
    <w:p>
      <w:r>
        <w:t>GE Cour de justice, 2023-06-05, FR</w:t>
      </w:r>
    </w:p>
    <w:p>
      <w:r>
        <w:rPr>
          <w:b/>
        </w:rPr>
        <w:t xml:space="preserve">Quelle: </w:t>
      </w:r>
      <w:r>
        <w:t>https://mcp.opencaselaw.ch/entscheid/ge_gerichte_PS_40_2023</w:t>
      </w:r>
    </w:p>
    <w:p>
      <w:r>
        <w:t>FR: GE_GERICHTE PS/40/2023 du 5 juin 2023</w:t>
      </w:r>
    </w:p>
    <w:p>
      <w:r>
        <w:t>IT: GE_GERICHTE PS/40/2023 del 5 giugno 2023</w:t>
      </w:r>
    </w:p>
    <w:p>
      <w:pPr>
        <w:pStyle w:val="Heading2"/>
      </w:pPr>
      <w:r>
        <w:t>Regeste</w:t>
      </w:r>
    </w:p>
    <w:p>
      <w:r>
        <w:t>RÉCUSATION;EXPERT;RAPPORT DE SUBORDINATION;COLLABORATEUR | CPP.56</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2012).![endif]&gt;![if&gt;</w:t>
      </w:r>
    </w:p>
    <w:p>
      <w:r>
        <w:rPr>
          <w:b/>
        </w:rPr>
        <w:t>E. 1.2</w:t>
      </w:r>
    </w:p>
    <w:p>
      <w:r>
        <w:t>En tant que prévenu, le requérant a qualité pour agir (art. 104 al. 1 let. a CPP et, par analogie, 58 al. 1 CPP).</w:t>
      </w:r>
    </w:p>
    <w:p>
      <w:r>
        <w:rPr>
          <w:b/>
        </w:rPr>
        <w:t>E. 1.3</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w:t>
      </w:r>
    </w:p>
    <w:p>
      <w:r>
        <w:rPr>
          <w:b/>
        </w:rPr>
        <w:t>E. 2</w:t>
      </w:r>
    </w:p>
    <w:p>
      <w:r>
        <w:t>Le requérant voit une apparence de partialité dans le fait que l’expertise ordonnée le 27 mars 2023 a été confiée au même institut que celui qui a délivré une précédente expertise à son sujet, dont le résultat lui serait particulièrement défavorable.</w:t>
      </w:r>
    </w:p>
    <w:p>
      <w:r>
        <w:rPr>
          <w:b/>
        </w:rPr>
        <w:t>E. 2.1</w:t>
      </w:r>
    </w:p>
    <w:p>
      <w:r>
        <w:t>Par renvoi de l'art. 183 al. 3 CPP, l'art. 56 CPP s'applique à la récusation d'un expert. L'exigence d'un procès équitable commande que l'impartialité de celui-ci soit garantie (ATF 125 II 541 ; arrêt du Tribunal fédéral 6B_258/2011 du 22 août 2011 consid. 1.3.1). L'art. 56 let. f CPP prévoit que toute personne exerçant une fonction au sein d'une autorité pénale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(ATF 143 IV 69 consid. 3.2 p. 74). Elle concrétise les droits déduits de l'art. 29 al. 1 Cst. garantissant l'équité du procès et assure au justiciable une protection équivalente à celle de l'art. 30 al. 1 Cst. s'agissant des exigences d'impartialité et d'indépendance requises d'un expert (ATF 141 IV 178 consid. 3.2.2. p. 179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de sa part. Les impressions purement individuelles d'une des parties au procès ne sont pas décisives (ATF 143 IV 69 consid. 3.2 p. 74). L'apparence de prévention peut avoir sa source dans les relations personnelles ou professionnelles que l'expert entretient avec l'une des parties, avec son représentant ou avec l'institution dans laquelle il œuvre et/ou dans son comportement (arrêt du Tribunal fédéral 1B_338/2021 du 23 novembre 2021 consid. 2.1 et les références). Conformément à une jurisprudence bien établie, la seule circonstance que l'expert a établi ou participé à une expertise antérieure ne le fait pas encore apparaître objectivement comme prévenu (cf. ATF 132 V 93 consid. 7.2.2; arrêt du Tribunal fédéral 67B_480/2022 du 22 juin 2022 consid. 1.4.). Dans la règle, le fait qu'un expert a pu prendre connaissance des rapports de prédécesseurs ne conduit, de toute manière, pas à douter de son indépendance, car on attend de l'expert qu'il développe particulièrement les antécédents spécifiques et médico-légaux, en tant qu'éléments anamnestiques susceptibles de nourrir sa propre discussion (arrêt précité, consid. 2.).</w:t>
      </w:r>
    </w:p>
    <w:p>
      <w:r>
        <w:rPr>
          <w:b/>
        </w:rPr>
        <w:t>E. 2.2</w:t>
      </w:r>
    </w:p>
    <w:p>
      <w:r>
        <w:t>À la lumière de ces principes, la requête apparaît dénuée de tout fondement. Le CURML n’apparaît pas lésé par les actes reprochés au requérant ni susceptible d’être mis en cause à raison de ceux-ci. Le but de l’expertise rendue en septembre 2021 – à laquelle il n’est pas prétendu que les cités auraient prêté la main – n’était pas d’établir la responsabilité pénale du prévenu. Elle n’était pas limitée à sa personne, mais prenait en considération tout le groupe familial, sous l’angle d’aptitudes sociales, affectives, parentales, éducatives. Quand bien même les cités dépendent-ils du même institut que leurs confrères ayant préparé et rédigé cette expertise, rien ne met en évidence de lien de subordination, ou d’autre forme de dépendance, avec leurs devanciers. Que, dans le cadre de l’expertise confiée, ils aient accès à leurs analyse et conclusions – ce qui ne semble pas mis en question dans la requête – s’avère conforme à la jurisprudence, ainsi qu’à la méthodologie nécessaire pour éclairer le juge. En bref, le requérant fait uniquement état d’impressions individuelles, générales et destinées à l’institution dont émanent les cités, sans que des soupçons de partialité de ceux-ci n’aient été rendus vraisemblables.</w:t>
      </w:r>
    </w:p>
    <w:p>
      <w:r>
        <w:rPr>
          <w:b/>
        </w:rPr>
        <w:t>E. 3</w:t>
      </w:r>
    </w:p>
    <w:p>
      <w:r>
        <w:t>La requête sera rejetée.</w:t>
      </w:r>
    </w:p>
    <w:p>
      <w:r>
        <w:rPr>
          <w:b/>
        </w:rPr>
        <w:t>E. 4</w:t>
      </w:r>
    </w:p>
    <w:p>
      <w:r>
        <w:t>Le requérant, qui succombe, supportera les frais de la procédure (art. 59 al. 4 CPP). L’émolument sera fixé à CHF 800.-.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