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PS/3/2019 vom 10. Januar 2019</w:t>
      </w:r>
    </w:p>
    <w:p>
      <w:r>
        <w:t>GE Cour de justice, 2019-01-10, FR</w:t>
      </w:r>
    </w:p>
    <w:p>
      <w:r>
        <w:rPr>
          <w:b/>
        </w:rPr>
        <w:t xml:space="preserve">Quelle: </w:t>
      </w:r>
      <w:r>
        <w:t>https://mcp.opencaselaw.ch/entscheid/ge_gerichte_PS_3_2019</w:t>
      </w:r>
    </w:p>
    <w:p>
      <w:r>
        <w:t>FR: GE_GERICHTE PS/3/2019 du 10 janvier 2019</w:t>
      </w:r>
    </w:p>
    <w:p>
      <w:r>
        <w:t>IT: GE_GERICHTE PS/3/2019 del 10 gennaio 2019</w:t>
      </w:r>
    </w:p>
    <w:p>
      <w:pPr>
        <w:pStyle w:val="Heading2"/>
      </w:pPr>
      <w:r>
        <w:t>Regeste</w:t>
      </w:r>
    </w:p>
    <w:p>
      <w:r>
        <w:t>MESURE THÉRAPEUTIQUE INSTITUTIONNELLE ; RISQUE DE RÉCIDIVE ; PROPORTIONNALITÉ | CP.59.al3</w:t>
      </w:r>
    </w:p>
    <w:p>
      <w:pPr>
        <w:pStyle w:val="Heading2"/>
      </w:pPr>
      <w:r>
        <w:t>Erwägungen</w:t>
      </w:r>
    </w:p>
    <w:p>
      <w:r>
        <w:rPr>
          <w:b/>
        </w:rPr>
        <w:t>E. 1</w:t>
      </w:r>
    </w:p>
    <w:p>
      <w:r>
        <w:t>1.1. 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 les éléments au dossier ne permettant pas de déterminer à quelle date la décision a été notifiée – et émaner du condamné visé par la décision querellée et qui a un intérêt juridiquement protégé à l'annulation de la décision entreprise (art. 382 al. 1 CPP).</w:t>
      </w:r>
    </w:p>
    <w:p>
      <w:r>
        <w:rPr>
          <w:b/>
        </w:rPr>
        <w:t>E. 2</w:t>
      </w:r>
    </w:p>
    <w:p>
      <w:r>
        <w:t>Le recourant reproche à la décision querellée de violer le principe de la proportionnalité.![endif]&gt;![if&gt;</w:t>
      </w:r>
    </w:p>
    <w:p>
      <w:r>
        <w:rPr>
          <w:b/>
        </w:rPr>
        <w:t>E. 2.1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6B_319/2017 du 28 septembre 2017 consid. 1.1;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du Tribunal fédéral 6B_1243/2017 précité consid. 1.1; 6B_319/2017 précité consid. 1.1; 6B_538/2013 du 14 octobre 2013 consid. 3.1).</w:t>
      </w:r>
    </w:p>
    <w:p>
      <w:r>
        <w:rPr>
          <w:b/>
        </w:rPr>
        <w:t>E. 2.2</w:t>
      </w:r>
    </w:p>
    <w:p>
      <w:r>
        <w:t>En l'espèce, le recourant, qui souffre d'une grave schizophrénie paranoïde – soit un trouble mental sévère – a été condamné, en 2017 et 2018, pour des infractions contre le patrimoine. Les autorités pénales ayant prononcé la mesure institutionnelle, y compris le Tribunal fédéral, ont retenu que le recourant avait à plusieurs reprises, avant son incarcération, également proféré des menaces et eu des comportements violents à l'égard d'autrui. Il ressort par ailleurs des éléments au dossier que, sans soins et sans entourage contenant, ce risque était d'autant plus élevé. En l'occurrence, le risque de fuite n'est pas contesté et le recourant a clairement manifesté son intention de rejoindre la France. Toutefois, il résulte aussi des pièces du dossier que ses parents ne sont pas prêts à l'héberger aussi longtemps qu'il ne se soumet pas à un traitement médical. En cas de placement en milieu ouvert, le recourant serait donc livré à lui-même et sans médication ni accompagnement thérapeutique, circonstances qui ont été décrites par l'expert comme des conditions propices à un passage à l'acte hétéro-agressif en cas de décompensation. Il s'ensuit que le risque de récidive violente apparaît en l'état qualifié, de sorte que les conditions d'un placement en milieu fermé sont réalisées. Dans son arrêt du 28 juin 2018 (6B_XXX/2018 susmentionné), le Tribunal fédéral a déjà examiné le grief du recourant tiré de la violation du principe de la proportionnalité et considéré que la perspective de le voir commettre de nouvelles infractions contre le patrimoine ou l'intégrité d'autrui, notamment par le biais de menaces, ne pouvait être tenue pour négligeable, même si la gravité des actes pour lesquels il avait été condamné demeurait modérée. Dès lors que la mesure n'avait pas encore été mise en place et que l'expert estimait que sa durée en milieu fermé devrait être limitée à quelques mois – soit le temps de permettre une stabilisation de l'état du recourant –, l'atteinte aux droits de sa personnalité n'apparaissait pas disproportionnée. Depuis cette décision, près de huit mois se sont écoulés, durant lesquels l'exécution de la mesure a été ordonnée (le 3 juillet 2018), l'évaluation médicale du recourant a été effectuée par le SMI (cf. rapport du 1 er novembre 2018), son avis sur l'exécution en milieu fermé a été requis (le 26 novembre 2018) et la décision querellée a été prise. Le SAPEM n'est donc pas resté inactif. De son côté, le recourant, même après avoir appris, avec l'arrêt du Tribunal fédéral précité, que la mesure institutionnelle était confirmée, a persisté à s'opposer à tout traitement et prise en charge thérapeutique. Or, de l'avis de l'expert, retenu par le Tribunal fédéral, le refus de soins rend impossible toute prise en charge ambulatoire ou en milieu ouvert. Le comportement du recourant n'est donc pas étranger à la prolongation de sa détention. Contrairement à ce qu'il allègue, le traitement sous contrainte pourra, le cas échéant, être ordonné dans le cadre d'un placement à D______ (cf. consid. 3 infra ), lequel n'était possible que sur la base d'une décision d'exécution de la mesure institutionnelle en milieu fermé. Tant que la mesure n'était pas ordonnée de manière définitive, en raison de l'appel puis du recours formés par le recourant contre le jugement du 20 février 2018, la décision de placement en milieu fermé ne pouvait être prise. Si l'on peut déplorer le long délai employé par le SAPEM, entre le 3 juillet 2018 – date de l'injonction d'exécuter la mesure – et le 10 janvier 2019 pour rendre la décision querellée, ce Service n'est, comme on l'a vu, pas resté inactif et ces six mois ne sont pas de nature à violer, à eux seuls, le principe de la proportionnalité. Le SAPEM est toutefois invité à faire diligence afin que le recourant intègre en priorité et le plus vite possible le centre de soins en milieu fermé D______, au vu de son long séjour en détention et des effets délétères de l'absence de traitement durant toute cette période. Au surplus, le transfèrement demandé fin janvier par le recourant n'est pas de nature à modifier les conclusions qui précèdent.</w:t>
      </w:r>
    </w:p>
    <w:p>
      <w:r>
        <w:rPr>
          <w:b/>
        </w:rPr>
        <w:t>E. 3</w:t>
      </w:r>
    </w:p>
    <w:p>
      <w:r>
        <w:t>C'est en vain également que le recourant allègue que la mesure, en milieu fermé, ne serait pas apte à atteindre le but visé. En l'occurrence, le recourant s'est, depuis son arrestation en août 2017, systématiquement opposé à tout traitement et prise en charge thérapeutique. Or, contrairement à ce qu'il affirme, la médication forcée peut, dans le cadre du traitement institutionnel des troubles mentaux, prévu par l'art. 59 CP, être ordonnée, si elle se révèle nécessaire et respecte la déontologie médicale (ATF 130 IV 49 consid. 3.3 = JdT 2006 IV 200; ATF 127 IV 154 consid. 3d = JdT 2006 IV 219). Les autorités d'exécution sont compétentes pour l'ordonner (ATF 142 IV 1 consid. 2.4.5 = JdT 2016 IV 329; arrêt du Tribunal fédéral 6B_1406/2017 du 9 avril 2018 consid. 5.5). ![endif]&gt;![if&gt; Dans la mesure où l'expert a retenu, en l'espèce, qu'un traitement contre la volonté du recourant avait des chances de pouvoir être mis en œuvre, la mesure n'est nullement, en l'état, vouée à l'échec. Le recours sera dès lors rejeté.</w:t>
      </w:r>
    </w:p>
    <w:p>
      <w:r>
        <w:rPr>
          <w:b/>
        </w:rPr>
        <w:t>E. 4</w:t>
      </w:r>
    </w:p>
    <w:p>
      <w:r>
        <w:t>Justifiée, la décision querellée sera donc confirmée.![endif]&gt;![if&gt;</w:t>
      </w:r>
    </w:p>
    <w:p>
      <w:r>
        <w:rPr>
          <w:b/>
        </w:rPr>
        <w:t>E. 5</w:t>
      </w:r>
    </w:p>
    <w:p>
      <w:r>
        <w:t>Le recourant, qui succombe, supportera les frais envers l'État, qui comprendront un émolument de CHF 600.- (art. 428 al. 1 CPP et 13 al. 1 du Règlement fixant le tarif des frais en matière pénale, RTFMP ; E 4 10.03).![endif]&gt;![if&gt;</w:t>
      </w:r>
    </w:p>
    <w:p>
      <w:r>
        <w:rPr>
          <w:b/>
        </w:rPr>
        <w:t>E. 6</w:t>
      </w:r>
    </w:p>
    <w:p>
      <w:r>
        <w:t>Compte tenu du grave trouble mental dont souffre le recourant, de l'importance de la première étape que constitue la décision querellée dans l'exécution de la mesure institutionnelle prononcée contre lui et de la limitation particulièrement grave à sa liberté personnelle (ATF 128 I 225 consid. 2.5.2 = JdT 2006 IV 47), une défense d'office est ordonnée et M e C______ nommé à cet effet. ![endif]&gt;![if&gt; La note d'honoraires de l'avocat, qui s'élève, pour la procédure de recours, à CHF 904.70 (TVA incluse) – correspondant au total à 4 heures d'activité au tarif horaire de l'assistance juridique –, sera admise.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