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PS/36/2020 vom 26. Mai 2020</w:t>
      </w:r>
    </w:p>
    <w:p>
      <w:r>
        <w:t>GE Cour de justice, 2020-05-26, FR</w:t>
      </w:r>
    </w:p>
    <w:p>
      <w:r>
        <w:rPr>
          <w:b/>
        </w:rPr>
        <w:t xml:space="preserve">Quelle: </w:t>
      </w:r>
      <w:r>
        <w:t>https://mcp.opencaselaw.ch/entscheid/ge_gerichte_PS_36_2020</w:t>
      </w:r>
    </w:p>
    <w:p>
      <w:r>
        <w:t>FR: GE_GERICHTE PS/36/2020 du 26 mai 2020</w:t>
      </w:r>
    </w:p>
    <w:p>
      <w:r>
        <w:t>IT: GE_GERICHTE PS/36/2020 del 26 maggio 2020</w:t>
      </w:r>
    </w:p>
    <w:p>
      <w:pPr>
        <w:pStyle w:val="Heading2"/>
      </w:pPr>
      <w:r>
        <w:t>Regeste</w:t>
      </w:r>
    </w:p>
    <w:p>
      <w:r>
        <w:t>RÉCUSATION;MINISTÈRE PUBLIC | CPP.56</w:t>
      </w:r>
    </w:p>
    <w:p>
      <w:pPr>
        <w:pStyle w:val="Heading2"/>
      </w:pPr>
      <w:r>
        <w:t>Erwägungen</w:t>
      </w:r>
    </w:p>
    <w:p>
      <w:r>
        <w:rPr>
          <w:b/>
        </w:rPr>
        <w:t>E. 1</w:t>
      </w:r>
    </w:p>
    <w:p>
      <w:r>
        <w:t>1.1. 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comme en l'espèce, le ministère public est concerné. À Genève, l'autorité de recours, au sens de cette disposition, est la Chambre pénale de recours de la Cour de justice (art. 128 al. 2 let. a LOJ), siégeant dans la composition de trois juges (art. 127 LOJ).</w:t>
      </w:r>
    </w:p>
    <w:p>
      <w:r>
        <w:rPr>
          <w:b/>
        </w:rPr>
        <w:t>E. 1.2</w:t>
      </w:r>
    </w:p>
    <w:p>
      <w:r>
        <w:t>Selon l'art. 58 al. 1 CPP, la demande de récusation doit être présentée "sans délai" , dès que la partie a connaissance du motif de récusation. L'autorité qui constate qu'une demande de récusation est tardive n'entre pas en matière et la déclare irrecevable (A. DONATSCH / T. HANSJAKOB / V. LIEBER (éds), Kommentar zur Schweizerischen Strafprozessordnung (StPO) , Zurich 2010, n. 4 ad art. 58 CPP; arrêt du Tribunal fédéral 2C_239/2010 du 30 juin 2010 consid. 2.2; ACPR/303/2014 du 18 juin 2014).</w:t>
      </w:r>
    </w:p>
    <w:p>
      <w:r>
        <w:rPr>
          <w:b/>
        </w:rPr>
        <w:t>E. 1.3</w:t>
      </w:r>
    </w:p>
    <w:p>
      <w:r>
        <w:t>En l'espèce, la question de la recevabilité de la requête peut rester ouverte, celle-ci devant de toute manière être rejetée au fond.</w:t>
      </w:r>
    </w:p>
    <w:p>
      <w:r>
        <w:rPr>
          <w:b/>
        </w:rPr>
        <w:t>E. 2.1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141 IV 178 consid. 3.2.1; 139 I 121 consid. 5.1). L'impartialité subjective d'un magistrat se présume jusqu'à preuve du contraire (ATF 136 III 605 consid. 3.2.1; arrêt du Tribunal fédéral 6B_621/2011 du 19 décembre 2011; arrêt de la CourEDH LINDON, § 76; N. SCHMID / D. JOSITSCH, Schweizerische Strafprozessordnung : Praxiskommentar , 3e éd., Zurich 2017, n. 14 ad art. 56).</w:t>
      </w:r>
    </w:p>
    <w:p>
      <w:r>
        <w:rPr>
          <w:b/>
        </w:rPr>
        <w:t>E. 2.2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w:t>
      </w:r>
    </w:p>
    <w:p>
      <w:r>
        <w:rPr>
          <w:b/>
        </w:rPr>
        <w:t>E. 2.3</w:t>
      </w:r>
    </w:p>
    <w:p>
      <w:r>
        <w:t>Il appartient aux juridictions de recours normalement compétentes de constater et de redresser les erreurs éventuellement commises.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r>
        <w:rPr>
          <w:b/>
        </w:rPr>
        <w:t>E. 2.4</w:t>
      </w:r>
    </w:p>
    <w:p>
      <w:r>
        <w:t>En l'occurrence, le requérant reproche en substance à la citée d'avoir commis plusieurs violations de ses droits procéduraux. Or, il lui appartenait, s'il entendait se plaindre de certains manquements, de le faire au moyen des voies de droit idoines, la voie de la récusation n'étant pas destinée à corriger d'éventuelles erreurs. On relèvera tout de même que son grief relatif à la formalisation de sa plainte pour diffamation/calomnie tombe à faux, cette plainte faisant l'objet d'une autre procédure diligentée par un autre magistrat. Il en va de même de sa demande de ré-audition urgente des parties, la Procureure y ayant donné suite le 29 mai 2020. La Procureure a répondu au grief ayant trait à la mention, par elle, de seules deux infractions à la demande de casier judiciaire de la partie plaignante. On ne saurait voir là aucun motif de prévention de sa part. À suivre le requérant, il reproche ensuite à la Procureure de n'avoir pas mis à sa disposition une copie du dossier en janvier 2020, ce qui aurait entravé ses droits procéduraux, soit celui de recourir contre l'ordonnance du TMC du 5 janvier 2020. La citée s'en défend, démontrant avoir traité sa demande de copie du 6 janvier 2020 le lendemain. Partant, on ne saurait voir non plus ici un quelconque indice de partialité de la magistrate à son égard. Les reproches qu'il formule à l'endroit de Me G______ n'ont pas leur place ici et on ne voit pas sur la base de quoi la Procureure aurait dû révoquer son mandat en janvier 2020 déjà, étant relevé que le prévenu étant au bénéfice d'une défense obligatoire, il n'est pas fondé à se défendre seul, ce que la Chambre de céans a constaté dans son arrêt du 18 juin 2020 ( ACPR/425/2020 ). La Chambre de céans a statué que le refus du TMC de lever les mesures de substitution était justifié ( ACPR/423/2020 ), de sorte que le requérant ne saurait voir dans le refus préalable de la Procureure et sa prise de position en ce sens adressée au TMC un motif de prévention à son égard, tout comme dans le fait qu'elle ait rapidement pris position - compte tenu des délais légaux auxquels elle était soumise (art. 228 al. 2 et 237 al. 4 CPP). Enfin, le requérant ne saurait soutenir n'avoir pas vu sa demande de levée des mesures de substitution traitée par la citée à l'issue de son courrier du 21 février 2020, celui-ci ne formalisant pas clairement cette requête à cette occasion mais exposant longuement sa version des faits. Quoi qu'il en soit s'il entendait à ce moment-là déjà requérir une levée des mesures, il lui incombait de s'assurer que sa demande avait bien été comprise par la Procureure et, le cas échéant, de réitérer sa requête, ce qu'il a du reste fait le 5 mai 2020. Là encore, on ne décèle aucun indice de partialité de la magistrate.</w:t>
      </w:r>
    </w:p>
    <w:p>
      <w:r>
        <w:rPr>
          <w:b/>
        </w:rPr>
        <w:t>E. 3</w:t>
      </w:r>
    </w:p>
    <w:p>
      <w:r>
        <w:t>La requête, qui frise la témérité, sera donc rejetée.</w:t>
      </w:r>
    </w:p>
    <w:p>
      <w:r>
        <w:rPr>
          <w:b/>
        </w:rPr>
        <w:t>E. 4</w:t>
      </w:r>
    </w:p>
    <w:p>
      <w:r>
        <w:t>En tantqu'il succombe, le requérant supportera les frais de la procédure (art. 59 al. 4 CPP). Il n'y a pas lieu d'indemniser le requérant, de quelque manière que ce soit.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