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PS/32/2024 vom 10. Juni 2024</w:t>
      </w:r>
    </w:p>
    <w:p>
      <w:r>
        <w:t>GE Cour de justice, 2024-06-10, FR</w:t>
      </w:r>
    </w:p>
    <w:p>
      <w:r>
        <w:rPr>
          <w:b/>
        </w:rPr>
        <w:t xml:space="preserve">Quelle: </w:t>
      </w:r>
      <w:r>
        <w:t>https://mcp.opencaselaw.ch/entscheid/ge_gerichte_PS_32_2024</w:t>
      </w:r>
    </w:p>
    <w:p>
      <w:r>
        <w:t>FR: GE_GERICHTE PS/32/2024 du 10 juin 2024</w:t>
      </w:r>
    </w:p>
    <w:p>
      <w:r>
        <w:t>IT: GE_GERICHTE PS/32/2024 del 10 giugno 2024</w:t>
      </w:r>
    </w:p>
    <w:p>
      <w:pPr>
        <w:pStyle w:val="Heading2"/>
      </w:pPr>
      <w:r>
        <w:t>Regeste</w:t>
      </w:r>
    </w:p>
    <w:p>
      <w:r>
        <w:t>RÉCUSATION;LIBERTÉ DE CONSCIENCE ET DE CROYANCE | CPP.58; CPP.56</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ses requêtes, dirigées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En matière pénale, n'est pas tardive la requête formée après une période de six ou sept jours (arrêt du Tribunal fédéral 1B_118/2020 du 27 juillet 2020 consid. 3.2).</w:t>
      </w:r>
    </w:p>
    <w:p>
      <w:r>
        <w:rPr>
          <w:b/>
        </w:rPr>
        <w:t>E. 2.2</w:t>
      </w:r>
    </w:p>
    <w:p>
      <w:r>
        <w:t>En l'occurrence, le requérant a vraisemblablement pris connaissance de la demande du Ministère public de mise en détention provisoire, laquelle contient les propos incriminés, le jour de l'audience par-devant le Tribunal des mesures de contrainte. Déposée cinq jours plus tard, la requête l'a ainsi été en temps utile au regard de la jurisprudence.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143 IV 69 consid. 3.2; arrêt 1B_25/2022 du 18 mai 2022 consid. 2.2). L'impartialité subjective d'un magistrat se présume jusqu'à preuve du contraire (ATF 136 III 605 consid. 3.2.1; arrêt du Tribunal fédéral 6B_621/2011 du 19 décembre 2011).</w:t>
      </w:r>
    </w:p>
    <w:p>
      <w:r>
        <w:rPr>
          <w:b/>
        </w:rPr>
        <w:t>E. 3.2</w:t>
      </w:r>
    </w:p>
    <w:p>
      <w:r>
        <w:t>En l'espèce, le requérant fait grief au cité d'avoir, dans sa demande de détention provisoire, " sournoisement " érigé un " axiome " énonçant que tout " Juif " serait susceptible de " fuir " en Israël parce qu'il est " Juif ". Ce reproche dérive d'une lecture manifestement erronée de l'acte en question. À titre liminaire, même si la question ne lui a pas été directement posée, le requérant ne semble pas contester sa confession juive. Par son raisonnement, le cité n'insinue pas que tous les " Juifs " seraient, par essence, " fuyants "; il constate uniquement que les personnes de cette confession peuvent – a priori – bénéficier de la Loi du retour, laquelle octroie à tout(e) Juif ou Juive le droit d'immigrer en Israël. Les implications inhérentes à une telle réflexion s'apparentent ainsi à celles concernant n'importe quel ressortissant étranger, prévenu en Suisse, disposant de papiers qui lui permettraient de retourner à tout moment dans son pays d'origine. Que l'argument ait pu paraître peu convaincant au requérant, en particulier dans la mesure où il nie toute attache avec l'État hébreux, il n'en demeure pas moins un critère pouvant, dans certaines circonstances, être pris en compte dans l'évaluation du risque de fuite. Le cité ne consacre pas non plus ce constat en " axiome " puisqu'il a considéré d'autres éléments – éludés par le requérant –, sans faire primer l'un par rapport aux autres, pour étayer le risque de fuite retenu contre ce dernier, soit l'absence de domicile en Suisse et la possibilité d'un départ vers Monaco. C'est ainsi la combinaison de tous ces éléments qui a conduit le cité à soutenir un risque de fuite auprès du Tribunal des mesures de contrainte et non exclusivement la confession du requérant. On ne décèle ainsi aucun " antisémitisme " latent de la part du cité, ni, plus généralement, une quelconque intention discriminatoire laissant supposer une inimitié à l'égard du requérant. Le sort du co-prévenu ne saurait suffire à démontrer l'inverse. Hormis la nationalité suisse, les infractions retenues dans le cadre de la procédure – et non les charges qui pèsent concrètement sur eux, ni leur situation personnelle – consacrent la seule similarité partagée avec le requérant, ce qui exclut toute comparaison dans le traitement de l'instruction. Au demeurant, comme mentionné ci-dessus, le cité s'est fondé sur d'autres éléments pour retenir, au stade de la vraisemblance, un risque de fuite, dont il n'est nullement établi – ni même allégué – qu'ils s'appliqueraient également au co-prévenu. Il s'ensuit que le requérant plaide en vain une inégalité de traitement insoutenable pour nourrir une vraisemblance d'inimitié.</w:t>
      </w:r>
    </w:p>
    <w:p>
      <w:r>
        <w:rPr>
          <w:b/>
        </w:rPr>
        <w:t>E. 4</w:t>
      </w:r>
    </w:p>
    <w:p>
      <w:r>
        <w:t>La demande de récusation sera donc rejetée.</w:t>
      </w:r>
    </w:p>
    <w:p>
      <w:r>
        <w:rPr>
          <w:b/>
        </w:rPr>
        <w:t>E. 5</w:t>
      </w:r>
    </w:p>
    <w:p>
      <w:r>
        <w:t>Le requérant, qui succombe, supportera les frais de la procédure, fixées en totalité à CHF 1'000.- (art. 59 al. 4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