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PS/31/2023 vom 20. Februar 2023</w:t>
      </w:r>
    </w:p>
    <w:p>
      <w:r>
        <w:t>GE Cour de justice, 2023-02-20, FR</w:t>
      </w:r>
    </w:p>
    <w:p>
      <w:r>
        <w:rPr>
          <w:b/>
        </w:rPr>
        <w:t xml:space="preserve">Quelle: </w:t>
      </w:r>
      <w:r>
        <w:t>https://mcp.opencaselaw.ch/entscheid/ge_gerichte_PS_31_2023</w:t>
      </w:r>
    </w:p>
    <w:p>
      <w:r>
        <w:t>FR: GE_GERICHTE PS/31/2023 du 20 février 2023</w:t>
      </w:r>
    </w:p>
    <w:p>
      <w:r>
        <w:t>IT: GE_GERICHTE PS/31/2023 del 20 febbraio 2023</w:t>
      </w:r>
    </w:p>
    <w:p>
      <w:pPr>
        <w:pStyle w:val="Heading2"/>
      </w:pPr>
      <w:r>
        <w:t>Regeste</w:t>
      </w:r>
    </w:p>
    <w:p>
      <w:r>
        <w:t>CONTRAVENTION;INDEMNITÉ(EN GÉNÉRAL);AVOCAT | CPP.429</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contrevenant qui, prévenu dans la procédure (art. 104 al. 1 let. a CPP), a qualité pour agir, ayant un intérêt juridiquement protégé à la modification ou à l'annulation de la décision querellée (art. 382 al. 1 CPP).![endif]&gt;![if&gt;</w:t>
      </w:r>
    </w:p>
    <w:p>
      <w:r>
        <w:rPr>
          <w:b/>
        </w:rPr>
        <w:t>E. 2.1</w:t>
      </w:r>
    </w:p>
    <w:p>
      <w:r>
        <w:t>À teneur de l'art. 429 al. 1 let. a CPP, si le prévenu est acquitté, totalement ou en partie, ou s'il bénéficie d'une ordonnance de classement, il a droit à une indemnité pour les dépenses occasionnées par l'exercice raisonnable de ses droits de procédure.![endif]&gt;![if&gt; L'indemnité ici visée correspond en particulier aux dépenses assumées par le prévenu libéré pour un avocat de choix (ATF 138 IV 205 consid. 1 p. 206).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arrêt 6B_387/2013 du 8 juillet 2013 consid. 2.1 non publié aux ATF 139 IV 241 ). On ne peut pas partir du principe qu'en matière de contravention, le prévenu doit supporter en général seul ses frais de défense (ATF 142 IV 45 consid. 2.1; ATF 138 IV 197 consid. 2.3.5 p. 203 s.; arrêts du Tribunal fédéral 6B_983/2016 du 13 septembre 2017 consid. 2.2.; 6B_261/2016 du 24 mars 2017 consid. 2.2.; 6B_387/2013 du 8 juillet 2013 consid. 2.1 non publié aux ATF 139 IV 241 ). 2.2.1. En l'espèce, le recourant a d'abord été condamné par ordonnance pénale du SdC du 14 mai 2020 à une amende de CHF 600.- pour deux infractions : "se trouver dans un rassemblement de plus de cinq personnes dans l'espace public" et "organisation d'une manifestation sur le domaine public sans avoir requis d'autorisation". À la suite de son opposition, le SdC a, le 18 février 2022, annulé ladite ordonnance et condamné l'intéressé à une amende de CHF 100.- pour la première infraction susvisée, renonçant ainsi à le poursuivre pour la seconde. Par courrier du 3 mars 2022, le précité a déclaré former opposition à ladite ordonnance pénale, arguant que celle-ci ne statuait pas sur sa demande d'indemnisation. Dans l'intervalle, le recourant s'était acquitté du montant de l'amende et des émoluments. Partant, il n'était pas inconcevable que le SdC interprétât l'opposition comme une "opposition" à son refus d'indemnisation pour l'infraction abandonnée et n'engage pas la procédure d'opposition conformément à l'art. 354 CPP. Dans la mesure où l'autorité intimée affirme aujourd'hui comprendre que le recourant s'opposait (aussi) à sa condamnation partielle, elle indique vouloir reprendre le traitement de l'opposition sous cet angle. On ne voit pas en quoi le SdC, en se saisissant aujourd'hui de l'opposition, contreviendrait à la loi. La Chambre de céans ne saurait se substituer à cette autorité pour le traitement de l'opposition, lequel lui échoit, conformément aux art. 355 et 357 CPP. Il ne lui appartient pas de statuer sur le bien-fondé ou non de l'infraction reprochée. La conclusion du recourant tendant au classement (total) de la procédure ouverte contre lui est ainsi irrecevable. 2.2.2. L'abandon d'une infraction ouvre le droit à une indemnisation pour l'activité déployée par l'avocat de choix aux conditions susévoquées. Certes, la cause ne revêt pas de complexité particulière en fait ou en droit. Toutefois, elle a été émaillée de différentes erreurs de procédure du SdC, auxquelles le recourant a dû faire face. Ainsi, si l'opposition du 18 novembre 2020 à l'ordonnance pénale ne nécessitait pas l'intervention d'un avocat, il n'en allait plus de même à partir du moment où dite opposition n'avait pas été enregistrée par le SdC et qu'un nouveau commandement de payer avait été notifié au recourant, ce quand bien même un rapport de police rectificatif était intervenu. Que ce rapport, selon le SdC, ait été plus déterminant que l'intervention de l'avocate n'est pas pertinent, cette autorité, bien que nantie de ce nouveau rapport, ayant néanmoins poursuivi la procédure. Le SdC ne saurait par ailleurs soutenir que l'activité déployée par l'avocate n'était pas nécessaire alors qu'il avait précisément demandé à cette dernière de motiver son opposition – sans, au passage, lui transmettre le rapport de police rectificatif –. Il en résulte qu'une indemnisation est due pour le volet "classé" de la procédure. Compte tenu du respect du double degré de juridiction, la décision de refus d'indemnisation querellée sera annulée et la cause renvoyée au SdC pour qu'il statue sur le montant de l'indemnité demandée.</w:t>
      </w:r>
    </w:p>
    <w:p>
      <w:r>
        <w:rPr>
          <w:b/>
        </w:rPr>
        <w:t>E. 3</w:t>
      </w:r>
    </w:p>
    <w:p>
      <w:r>
        <w:t>Fondé, le recours est donc admis.</w:t>
      </w:r>
    </w:p>
    <w:p>
      <w:r>
        <w:rPr>
          <w:b/>
        </w:rPr>
        <w:t>E. 4.1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4.2</w:t>
      </w:r>
    </w:p>
    <w:p>
      <w:r>
        <w:t>En l'espèce, le recourant sollicite des dépens chiffrés à CHF 5'043.95, TVA comprise, pour l'instance de recours, qu'il détaille dans sa note d'honoraires produite. Le montant réclamé apparaît excessif eu égard à l'acte de recours (17 pages, dont trois d'entête, conclusions et salutations d'usage) et à une brève réplique, à la difficulté de la cause et au fait que les développements en lien avec le classement de l'infraction résiduelle ne sont pas recevables devant la Chambre de céans. Partant, 5h00 d'activité au tarif demandé de CHF 450.-/h seront allouées, ce qui correspond à CHF 2'250.-, plus la TVA à 7.7%.</w:t>
      </w:r>
    </w:p>
    <w:p>
      <w:r>
        <w:rPr>
          <w:b/>
        </w:rPr>
        <w:t>E. 5</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