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PS/30/2025 vom 30. Mai 2025</w:t>
      </w:r>
    </w:p>
    <w:p>
      <w:r>
        <w:t>GE Cour de justice, 2025-05-30, FR</w:t>
      </w:r>
    </w:p>
    <w:p>
      <w:r>
        <w:rPr>
          <w:b/>
        </w:rPr>
        <w:t xml:space="preserve">Quelle: </w:t>
      </w:r>
      <w:r>
        <w:t>https://mcp.opencaselaw.ch/entscheid/ge_gerichte_PS_30_2025</w:t>
      </w:r>
    </w:p>
    <w:p>
      <w:r>
        <w:t>FR: GE_GERICHTE PS/30/2025 du 30 mai 2025</w:t>
      </w:r>
    </w:p>
    <w:p>
      <w:r>
        <w:t>IT: GE_GERICHTE PS/30/2025 del 30 maggio 2025</w:t>
      </w:r>
    </w:p>
    <w:p>
      <w:pPr>
        <w:pStyle w:val="Heading2"/>
      </w:pPr>
      <w:r>
        <w:t>Regeste</w:t>
      </w:r>
    </w:p>
    <w:p>
      <w:r>
        <w:t>DÉPENS;INDEMNITÉ(EN GÉNÉRAL);PRESCRIPTION;AMENDE | CPP.429.al1.leta; CPP.319.al1.letd</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contrevenant qui, prévenu dans la procédure (art. 104 al. 1 let. a CPP), a qualité pour agir, ayant un intérêt juridiquement protégé à la modification ou à l'annulation de la décision querellée (art. 382 al. 1 CPP).</w:t>
      </w:r>
    </w:p>
    <w:p>
      <w:r>
        <w:rPr>
          <w:b/>
        </w:rPr>
        <w:t>E. 2</w:t>
      </w:r>
    </w:p>
    <w:p>
      <w:r>
        <w:t>Le recourant considère que c'est à tort que le SdC lui a refusé une indemnité pour ses frais de défense (art. 429 al. 1 let. a CPP) en lien avec son opposition à l'ordonnance pénale du 19 juillet 2024.</w:t>
      </w:r>
    </w:p>
    <w:p>
      <w:r>
        <w:rPr>
          <w:b/>
        </w:rPr>
        <w:t>E. 2.1</w:t>
      </w:r>
    </w:p>
    <w:p>
      <w:r>
        <w:t>À teneur de l'art. 429 al. 1 let. a CPP, si le prévenu est acquitté, totalement ou en partie, ou s'il bénéficie d'une ordonnance de classement, il a droit à une indemnité pour les dépenses occasionnées par l'exercice raisonnable de ses droits de procédure.</w:t>
      </w:r>
    </w:p>
    <w:p>
      <w:r>
        <w:rPr>
          <w:b/>
        </w:rPr>
        <w:t>E. 2.1.1</w:t>
      </w:r>
    </w:p>
    <w:p>
      <w:r>
        <w:t>L'indemnité ici visée correspond en particulier aux dépenses assumées par le prévenu libéré pour un avocat de choix (ATF 138 IV 205 consid. 1 p. 206).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6B_387/2013 du 8 juillet 2013 consid. 2.1 non publié aux ATF 139 IV 241 ).</w:t>
      </w:r>
    </w:p>
    <w:p>
      <w:r>
        <w:rPr>
          <w:b/>
        </w:rPr>
        <w:t>E. 2.1.2</w:t>
      </w:r>
    </w:p>
    <w:p>
      <w:r>
        <w:t>On ne peut pas partir du principe qu'en matière de contravention, le prévenu doive supporter en général seul ses frais de défense (ATF 142 IV 45 consid. 2.1; ATF 138 IV 197 consid. 2.3.5).</w:t>
      </w:r>
    </w:p>
    <w:p>
      <w:r>
        <w:rPr>
          <w:b/>
        </w:rPr>
        <w:t>E. 2.2</w:t>
      </w:r>
    </w:p>
    <w:p>
      <w:r>
        <w:t>Sauf disposition contraire de la loi, le montant maximum de l'amende est de CHF 10'000.- (art. 106 al. 1 CP). Les art. 35 et 36 al. 2 CP sont applicables par analogie à l’exécution et à la conversion de l’amende (al. 5). Ainsi, en l’absence de recouvrement de l’amende (art. 35 CP), celle-ci est convertie en jour de détention, qui doit pouvoir être portée devant le juge si elle a été prononcée par une autorité administrative (art. 36 al. 2 CP). À Genève, il revient au département compétent, soit une autorité administrative, d’ordonner l’exécution d’une peine privative de liberté de substitution (art. 5 al. 2 let. a LaCP). Un contrôle judiciaire ultérieur est ainsi impératif en application du droit fédéral (art. 36 al. 2 CP, applicable par renvoi de l’art. 106 al. 5 CP). Cette compétence revient alors au Tribunal d’application des peines et des mesures (ci-après : TAPEM) (art. 36 al. 1 LaCP).</w:t>
      </w:r>
    </w:p>
    <w:p>
      <w:r>
        <w:rPr>
          <w:b/>
        </w:rPr>
        <w:t>E. 2.3</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w:t>
      </w:r>
    </w:p>
    <w:p>
      <w:r>
        <w:rPr>
          <w:b/>
        </w:rPr>
        <w:t>E. 2.4</w:t>
      </w:r>
    </w:p>
    <w:p>
      <w:r>
        <w:t>Le SdC (art. 61 let. b CPP et 11 al. 1 LaCP) ordonne le classement de la procédure lorsque des empêchements de procéder sont apparus (art. 319 al. 1 let. d CPP), notamment lorsque l'action pénale est prescrite (ATF 146 IV 68 consid. 2.1). L'existence de tels empêchements doit être examinée d'office, à tous les stades de la procédure (arrêts du Tribunal fédéral 6B_479/2018 du 19 juillet 2019 consid. 2.1 et 6B_479/2013 du 30 janvier 2014 consid. 2.1).</w:t>
      </w:r>
    </w:p>
    <w:p>
      <w:r>
        <w:rPr>
          <w:b/>
        </w:rPr>
        <w:t>E. 2.5</w:t>
      </w:r>
    </w:p>
    <w:p>
      <w:r>
        <w:t>En l'espèce, l'abandon de l'infraction reprochée ouvre en principe le droit à une indemnisation pour l'activité déployée par l'avocat de choix aux conditions susévoquées. Conformément à ce que retient le SdC, la cause ayant donné lieu à l'ordonnance pénale du 19 juillet 2024 était dénuée de complexité en droit. Il s'agissait d'une seule occurrence, à savoir l'importation le 16 septembre 2021 sans autorisation, par le recourant qui exploitait alors le commerce C______, de produits du tabac et assimilés au tabac. Certes, l'amende prononcée était conséquente, à savoir CHF 10'000.-. Il existait par ailleurs une possibilité de conversion de l'amende en peine privative de liberté de substitution (90 jours) au cas où elle ne serait fautivement pas payée, dont il aurait toutefois été de la compétence du TAPEM d'en ordonner l'exécution, le cas échéant. L'ordonnance pénale indiquait clairement comment former opposition, laquelle n'avait pas besoin d'être motivée, et les conséquences pour le cas où elle ne serait pas valablement formée. Aussi, rien n'empêchait le recourant de procéder seul pour former opposition. Du moins, il n'invoque aucune circonstance qui permettrait de retenir qu'il n'était pas en mesure de le faire en raison de sa situation personnelle. Le SdC lui a ensuite demandé le 6 août 2024 de motiver son opposition, en respect de son droit d'être entendu, avant de rendre une nouvelle décision, en l'occurrence une ordonnance de classement. Le classement a été ordonné du fait d'un empêchement de procéder – l'acquisition de la prescription – que le SdC devait examiner d'office, ce que l'avocat mandaté par le recourant n'a au demeurant pas plaidé dans son courrier de motivation d'une demi page du 16 septembre 2024, alors que cet écrit précédait de 5 jours seulement la prescription. Il y a en effet simplement été relevé que l'absence d'autorisation pour vendre du tabac, de l'alcool et du CBD n'était pas établie, que le recourant avait cessé son activité le ______ avril 2024, de sorte que l'intérêt à punir n'existait plus, et que l'amende n'était pas proportionnée à sa capacité financière. Il s'agit là d'une motivation qu'un citoyen sans connaissances juridiques particulières aurait pu invoquer sans difficultés. Ainsi, l'intervention d'un avocat n'était pas nécessaire. Le fait que l'opposition aurait permis au recourant d'éviter l'inscription d'une condamnation dans son casier judiciaire, vu le montant de l'amende en cause (art. 18 al. 1 let. c ch. 3 LCJ), inscription de nature à lui porter préjudice tant au niveau personnel que professionnel, n'y change rien. En effet, comme déjà dit l'opposition n'avait pas à être motivée. Une fois interpellé par le SdC, l'opposant aurait pu faire valoir seul et sans grande difficulté qu'il était au bénéfice des autorisations nécessaires pour vendre du tabac, de l'alcool et du CBD, que le bail abritant son commerce avait pris fin et qu'il avait cessé son activité depuis le ______ avril 2024, ou encore que l'amende ne tenait pas compte de sa situation financière modeste ni du degré de la gravité de sa faute. C'est ainsi à juste titre que le SdC a considéré que l'assistance d'un avocat ne constituait pas un exercice raisonnable des droits de la défense et lui a refusé une indemnité à ce titre.</w:t>
      </w:r>
    </w:p>
    <w:p>
      <w:r>
        <w:rPr>
          <w:b/>
        </w:rPr>
        <w:t>E. 3</w:t>
      </w:r>
    </w:p>
    <w:p>
      <w:r>
        <w:t>Infondé, le recours sera rejeté.</w:t>
      </w:r>
    </w:p>
    <w:p>
      <w:r>
        <w:rPr>
          <w:b/>
        </w:rPr>
        <w:t>E. 4</w:t>
      </w:r>
    </w:p>
    <w:p>
      <w:r>
        <w:t>Le recourant, qui succombe, supportera les frais envers l'état, fixés en totalité à CHF 900.- (art. 428 al. 1 CPP et 13 al. 1 du règlement fixant le tarif de frais en matière pénale).</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