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PS/30/2022 vom 12. Mai 2022</w:t>
      </w:r>
    </w:p>
    <w:p>
      <w:r>
        <w:t>GE Cour de justice, 2022-05-12, FR</w:t>
      </w:r>
    </w:p>
    <w:p>
      <w:r>
        <w:rPr>
          <w:b/>
        </w:rPr>
        <w:t xml:space="preserve">Quelle: </w:t>
      </w:r>
      <w:r>
        <w:t>https://mcp.opencaselaw.ch/entscheid/ge_gerichte_PS_30_2022</w:t>
      </w:r>
    </w:p>
    <w:p>
      <w:r>
        <w:t>FR: GE_GERICHTE PS/30/2022 du 12 mai 2022</w:t>
      </w:r>
    </w:p>
    <w:p>
      <w:r>
        <w:t>IT: GE_GERICHTE PS/30/2022 del 12 maggio 2022</w:t>
      </w:r>
    </w:p>
    <w:p>
      <w:pPr>
        <w:pStyle w:val="Heading2"/>
      </w:pPr>
      <w:r>
        <w:t>Regeste</w:t>
      </w:r>
    </w:p>
    <w:p>
      <w:r>
        <w:t>ÉTABLISSEMENT PÉNITENTIAIRE;ALLÉGEMENT | CP.84.al6; RASPCA.3; CP.75.leta</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LaCP).![endif]&gt;![if&gt;</w:t>
      </w:r>
    </w:p>
    <w:p>
      <w:r>
        <w:rPr>
          <w:b/>
        </w:rPr>
        <w:t>E. 1.2</w:t>
      </w:r>
    </w:p>
    <w:p>
      <w:r>
        <w:t>Le recours est donc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Ministère public qui est légitimé (art. 381 al. 1 CPP) à contester l’octroi d’allègements en matière d’exécution des sanctions ( ACPR/571/2018 du 4 octobre 2018 consid. 1.3).</w:t>
      </w:r>
    </w:p>
    <w:p>
      <w:r>
        <w:rPr>
          <w:b/>
        </w:rPr>
        <w:t>E. 1.3</w:t>
      </w:r>
    </w:p>
    <w:p>
      <w:r>
        <w:t>Les pièces nouvelles produites devant la Chambre de céans sont recevables (arrêt du Tribunal fédéral 1B_368/2014 du 5 février 2015 consid. 3.1 et 3.2 et les références citées).</w:t>
      </w:r>
    </w:p>
    <w:p>
      <w:r>
        <w:rPr>
          <w:b/>
        </w:rPr>
        <w:t>E. 2</w:t>
      </w:r>
    </w:p>
    <w:p>
      <w:r>
        <w:t>Le recourant reproche à l'autorité précédente d'avoir accordé une conduite à A______.![endif]&gt;![if&gt;</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 Règlement concernant l'octroi d'autorisations de sortie aux personnes condamnées adultes et jeunes adultes (RASPCA - E 4 55.15) compte, au nombre des autorisations de sortie, le congé, qui est un des moyens dont dispose l'autorité compétente pour permettre à la personne détenue d'entretenir des relations avec le monde extérieur et de préparer sa libération (art. 3 let. a 1ère phr.). Le principe du congé doit être prévu dans le PES pour autant qu'il puisse être utilement établi (art. 3 let. a 2ème phr. et 4 al. 1 2ème phr. RASPCA). Pour obtenir une autorisation de sortie, respectivement un congé ou une permission, la personne détenue doit, notamment, justifier qu'elle a pris une part active aux objectifs de resocialisation prévus dans le PES et que sa demande s'inscrit dans ledit plan (art. 10 al. 1 let. d du RASPCA).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la situation actuelle de la personne détenue (art. 21 al. 1 RASPCA). L'autorité d'exécution dispose d'un large pouvoir d'appréciation. Elle doit procéder à une évaluation tenant compte du but de la mesure et de l'ensemble des circonstances (ATF 116 IV 277 consid. 3a = JdT 1992 IV 165; ACPR/544/2015 du 8 octobre 2015 consid. 3.1.).</w:t>
      </w:r>
    </w:p>
    <w:p>
      <w:r>
        <w:rPr>
          <w:b/>
        </w:rPr>
        <w:t>E. 2.3</w:t>
      </w:r>
    </w:p>
    <w:p>
      <w:r>
        <w:t>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 par cette commission lorsque l'autorité d'exécution peut d'ores et déjà trancher en toute clarté la question de la dangerosité de la personne (art. 75a al. 1 let. b CP).</w:t>
      </w:r>
    </w:p>
    <w:p>
      <w:r>
        <w:rPr>
          <w:b/>
        </w:rPr>
        <w:t>E. 2.4</w:t>
      </w:r>
    </w:p>
    <w:p>
      <w:r>
        <w:t>En l'occurrence, la décision en cause concerne l'octroi d'une conduite à Belle-Idée de quatre heures, accompagnée par trois intervenants, soit deux agents de détention et un membre du personnel médical. De surcroît, la mise en œuvre de la conduite est subordonnée au respect de conditions complémentaires qui doivent être impérativement remplies pour que cette conduite ait lieu, notamment abstinence à l'alcool et aux stupéfiants, contrôles toxicologiques avant et après la conduite, évaluation médicale avant la conduite et maintien d'un comportement irréprochable. Dans ces circonstances, bien que le SPI ait – dans son évaluation criminologique du 1 er juillet 2021 – qualifié de modéré le risque de récidive, il est difficile de saisir comment le recourant peut estimer que les risques de fuite et de nouveau passage à l'acte ne seraient pas compatibles avec la conduite. Les modalités d'exécution décrites ci-dessus paraissent, en effet, adéquates et suffisantes pour maîtriser lesdits risques. Le risque de fuite n'ayant, en outre, pas été considéré comme préoccupant pour le SMI puisqu'il semblait "contenu" tant par un encadrement strict que par la poursuite du travail thérapeutique. Qui plus est, l'ensemble des éléments au dossier plaident en faveur d'un pronostic non défavorable du détenu pour l'allègement envisagé. En effet, tant B______ que le SMI appuient l'octroi d'une conduite, ce dernier ne relevant du reste "aucune contre-indication médicale" , l'allègement en cause faisant partie intégrante de la prise en charge thérapeutique. Tous les professionnels de la santé s'occupant de l'intimé s'accordent à dire que son état est stabilisé et qu'il est compliant à son programme de soins ainsi qu'au traitement médicamenteux. De plus, sa dernière consommation d'alcool remonte, à ce jour, à plus de neuf mois. Depuis cet écart, tous les tests toxicologiques et les éthylotests se sont avérés négatifs. Sa dernière sanction remonte, quant à elle, à près de cinq mois. Le Tribunal de police n'a d'ailleurs émis aucune objection à l'octroi de l'allègement envisagé, en lien avec la procédure en cours et les faits reprochés. Finalement, dans la mesure où le SAPEM n'avait pas de doute quant à la dangerosité du détenu en lien avec l'allègement envisagé, il pouvait rendre une décision d'octroi sans consulter la Commission de l'évaluation de la dangerosité, et ce dans l'exercice de son large pouvoir d'appréciation. Fort des considérations qui précèdent, la Chambre de céans estime – à l'instar du SAPEM – que les conditions d'octroi de la conduite en cause sont remplies, un refus paraissant disproportionné. Le recours du Ministère public sera par conséquent rejeté.</w:t>
      </w:r>
    </w:p>
    <w:p>
      <w:r>
        <w:rPr>
          <w:b/>
        </w:rPr>
        <w:t>E. 3</w:t>
      </w:r>
    </w:p>
    <w:p>
      <w:r>
        <w:t>Justifiée, la décision querellée sera donc confirmée.</w:t>
      </w:r>
    </w:p>
    <w:p>
      <w:r>
        <w:rPr>
          <w:b/>
        </w:rPr>
        <w:t>E. 4</w:t>
      </w:r>
    </w:p>
    <w:p>
      <w:r>
        <w:t>Les frais de l'instance de recours seront laissés à la charge de l'État.</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précité n'a pas produit d'état de frais (art. 17 RAJ), ni chiffré ses prétentions. Au vu du travail accompli, à savoir six pages d'observations, ainsi que du degré de difficulté des questions litigieuses, lesquelles ne présentaient pas de complexité particulière, la rémunération de celui-ci sera arrêtée, ex aequo et bono , à CHF 861.60, TVA au taux de 7.7% (CHF 61.60) comprise, correspondant à deux heures d'activité au tarif horaire de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