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PS/2/2024 vom 13. Februar 2024</w:t>
      </w:r>
    </w:p>
    <w:p>
      <w:r>
        <w:t>GE Cour de justice, 2024-02-13, FR</w:t>
      </w:r>
    </w:p>
    <w:p>
      <w:r>
        <w:rPr>
          <w:b/>
        </w:rPr>
        <w:t xml:space="preserve">Quelle: </w:t>
      </w:r>
      <w:r>
        <w:t>https://mcp.opencaselaw.ch/entscheid/ge_gerichte_PS_2_2024</w:t>
      </w:r>
    </w:p>
    <w:p>
      <w:r>
        <w:t>FR: GE_GERICHTE PS/2/2024 du 13 février 2024</w:t>
      </w:r>
    </w:p>
    <w:p>
      <w:r>
        <w:t>IT: GE_GERICHTE PS/2/2024 del 13 febbraio 2024</w:t>
      </w:r>
    </w:p>
    <w:p>
      <w:pPr>
        <w:pStyle w:val="Heading2"/>
      </w:pPr>
      <w:r>
        <w:t>Regeste</w:t>
      </w:r>
    </w:p>
    <w:p>
      <w:r>
        <w:t>EXPULSION(DROIT DES ÉTRANGERS) | CP.66.letd</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attribuent.![endif]&gt;![if&gt; En vertu de la délégation figurant à l'art. 439 CPP, le législateur genevois a attribué à la Chambre pénale de recours la compétence de statuer sur les recours dirigés contre les décisions rendues par le Département des institutions et du numérique, ses offices et ses services, les art. 379 à 397 s'appliquant par analogie (art. 42 al. 1 let. a LaCP).</w:t>
      </w:r>
    </w:p>
    <w:p>
      <w:r>
        <w:rPr>
          <w:b/>
        </w:rPr>
        <w:t>E. 1.2</w:t>
      </w:r>
    </w:p>
    <w:p>
      <w:r>
        <w:t>La procédure devant la Chambre de céans est régie par le CPP, applicable au titre de droit cantonal supplétif (art. 42 al. 2 LaCP).</w:t>
      </w:r>
    </w:p>
    <w:p>
      <w:r>
        <w:rPr>
          <w:b/>
        </w:rPr>
        <w:t>E. 1.3</w:t>
      </w:r>
    </w:p>
    <w:p>
      <w:r>
        <w:t>En l'espèce, le recours est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du condamné visé par la décision querellée, qui a a priori un intérêt juridiquement protégé à son annulation (art. 382 al. 1 CPP). Les pièces nouvelles produites par le recourant sont également recevables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se plaint d'une violation de son droit d'être entendu, au motif que la décision attaquée ne tiendrait pas compte de la demande de grâce qu'il a adressée au Grand Conseil genevois le 2 octobre 2023, ni aux faits qui y étaient allégués.![endif]&gt;![if&gt;</w:t>
      </w:r>
    </w:p>
    <w:p>
      <w:r>
        <w:rPr>
          <w:b/>
        </w:rPr>
        <w:t>E. 3.1</w:t>
      </w:r>
    </w:p>
    <w:p>
      <w:r>
        <w:t>Le droit d'être entendu, garanti par l'art. 3 al. 2 let. c CPP et 29 al. 2 Cst., implique notamment pour l'autorité l'obligation de motiver sa décision, afin que le destinataire puisse la comprendre, l'attaquer utilement s'il y a lieu et que l'autorité de recours puisse exercer son contrôle (ATF 139 IV 179 consid. 2.2; 138 I 232 consid. 5.1).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I 232 consid. 5.1; arrêts du Tribunal fédéral 6B_146/2016 du 22 août 2016 consid. 1.1 et 1B_62/2014 du 4 avril 2014 consid. 2.2). 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3.2</w:t>
      </w:r>
    </w:p>
    <w:p>
      <w:r>
        <w:t>En l'espèce, la demande de grâce déposée par le recourant revêt un caractère politique (cf. art. 99 Cst./GE et 209 de la loi portant règlement du Grand Conseil de la République et canton de Genève [LRGC ; RS/GE B1 01]). Par nature, elle est dépourvue d'effet suspensif, et son caractère pendant n'est pas pertinent pour trancher la question du report de l'expulsion judiciaire. Pour le surplus, la décision querellée retient qu'il n'existe aucun obstacle à l'exécution de l'expulsion, qui est définitive et exécutoire. Cette motivation – certes brève – satisfait aux exigences minimales posées par le droit d'être entendu, dès lors qu'il s'agit d'une décision d'exécution que le recourant était parfaitement capable de comprendre et de discuter. En toute hypothèse, il faudrait considérer qu'une éventuelle violation du droit d'être entendu du recourant aurait été réparée dans le cadre du présent recours et ne saurait justifier une annulation de la décision querellée. Partant, le grief est infondé.</w:t>
      </w:r>
    </w:p>
    <w:p>
      <w:r>
        <w:rPr>
          <w:b/>
        </w:rPr>
        <w:t>E. 4.1</w:t>
      </w:r>
    </w:p>
    <w:p>
      <w:r>
        <w:t>Conformément à l'art. 66 a al. 1 let. c CP, le juge expulse de Suisse, pour une durée de cinq à quinze ans, l'étranger qui est condamné pour brigandage.![endif]&gt;![if&gt;</w:t>
      </w:r>
    </w:p>
    <w:p>
      <w:r>
        <w:rPr>
          <w:b/>
        </w:rPr>
        <w:t>E. 4.2</w:t>
      </w:r>
    </w:p>
    <w:p>
      <w:r>
        <w:t>Selon l'art. 66 d al.1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 principe de non-refoulement ou d'une autre règle impérative du droit international (ATF 147 IV 453 consid. 1.4.5). En principe, la conception d'un enfant par un étranger sous le coup d'une expulsion pénale exécutoire ne constitue pas une circonstance exceptionnelle pouvant donner lieu à un report de celle-ci au sens de l'art. 66 d CP (arrêts du Tribunal fédéral 6B_1224/2022 du 26 janvier 2023 consid. 2.3 et 2.4 ; 2C 75/2020 du 8 juin 2020 consid. 5.3). Il appartient au juge de l'expulsion d'examiner si les conditions de la clause dite " de rigueur " de l'art. 66 a al. 2 CP sont réalisées et de renoncer à ordonner l'expulsion dans cette hypothèse. La loi ne définissant pas ce qui constitue une " situation personnelle grave ", il convient de se référer aux critères qui président à l'octroi d'une autorisation de séjour dans le cas d'extrême gravité (cf. art. 31 OASA ; ATF 144 IV 332 consid. 3.3.1).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l'état de provenance. À cette liste non exhaustive s'ajoutent, dans l'optique pénale, les perspectives de réinsertion sociale du condamné (ATF 144 IV 332 consid. 3.3.3). Dans ce contexte, un étranger peut se prévaloir des art. 13 al. 1 Cst. et 8 par. 1 CEDH pour s'opposer à l'éventuelle séparation de sa famille, pour autant qu'il entretienne une relation étroite et effective avec une personne de sa famille ayant le droit de résider durablement en Suisse (ATF 144 II 1 consid. 6.1 ; arrêt 6B_396/2022 du 20 décembre 2022 consid. 6.4). Dans le cadre de l'examen de la proportionnalité de la mesure (cf. art. 8 par. 2 CEDH), il faut aussi tenir compte de l'intérêt fondamental de l'enfant (art. 3 CDE) à pouvoir grandir en jouissant d'un contact étroit avec ses deux parents (ATF 144 I 91 consid. 5.2 ; arrêt 6B_396/2022 précité consid. 6.4).</w:t>
      </w:r>
    </w:p>
    <w:p>
      <w:r>
        <w:rPr>
          <w:b/>
        </w:rPr>
        <w:t>E. 4.3</w:t>
      </w:r>
    </w:p>
    <w:p>
      <w:r>
        <w:t>En l'espèce, le recourant fait l'objet d'un prononcé d'expulsion après avoir été reconnu coupable de brigandage, soit une infraction grave. Cette décision est aujourd'hui définitive et exécutoire. Le recourant n'allègue aucune violation du droit international impératif en cas d'expulsion. Arrivé en Suisse en novembre 2019, il n'y a jamais disposé d'une autorisation de séjour et ne démontre pas une intégration supérieure à la moyenne, ni même réussie. À cet égard, la seule existence d'une confirmation d'inscription à un test de connaissance de la langue française n'indique rien de ses éventuels progrès dans cette langue depuis le prononcé de l'expulsion pénale – à supposer que ces progrès fussent pertinents –, et les attestations fournies par ses proches, des membres de sa famille ou de celle de son épouse, disposent d'une force probante très relative. Ces éléments ne modifient ainsi pas la pesée d'intérêts opérée par le juge pénal lors du prononcé de l'expulsion. Il en va de même des faits nouveaux invoqués par le recourant concernant sa situation familiale. Aucun obstacle majeur ne s'oppose à la poursuite de la vie familiale à l'étranger, qu'il s'agisse du pays d'origine du recourant ou de celui dont il a récemment obtenu la nationalité. L'épouse de ce dernier, de nationalité portugaise, dispose de bonnes possibilités d'intégration au Brésil, compte tenu de sa maîtrise du portugais. De plus, rien n'indique que le frère de celle-ci, âgé de 11 ans, qui vit avec sa propre mère et bénéficie d'un enseignement spécialisé à Genève, ne pourrait compter en Suisse que sur l'assistance de l'épouse du recourant. Par ailleurs, le fils du couple, âgé de moins de dix mois, n'est pas encore scolarisé. Un déménagement à l'étranger ne constituerait ainsi pas un déracinement pour l'enfant, ni n'est, a fortiori , susceptible de mettre en danger son développement. En tout état de cause, conformément à la jurisprudence susmentionnée, la conception d'un enfant par un étranger sous le coup d'une expulsion pénale n'est pas suffisante pour constituer une circonstance exceptionnelle justifiant de renoncer à l'expulsion. Par conséquent, l'OCPM a retenu à juste titre qu'aucun obstacle n'empêchait d'exécuter l'expulsion du recourant.</w:t>
      </w:r>
    </w:p>
    <w:p>
      <w:r>
        <w:rPr>
          <w:b/>
        </w:rPr>
        <w:t>E. 5</w:t>
      </w:r>
    </w:p>
    <w:p>
      <w:r>
        <w:t>S'agissant de la conclusion subsidiaire tendant à une expulsion vers l'Italie, force est de constater que la décision querellée ne désigne pas de pays déterminé. Il n'appartient, ainsi, pas à la Chambre de céans de se prononcer sur un point qui ne ressort pas de la décision querellée.</w:t>
      </w:r>
    </w:p>
    <w:p>
      <w:r>
        <w:rPr>
          <w:b/>
        </w:rPr>
        <w:t>E. 6</w:t>
      </w:r>
    </w:p>
    <w:p>
      <w:r>
        <w:t>Justifiée, la décision querellée sera donc confirmée.</w:t>
      </w:r>
    </w:p>
    <w:p>
      <w:r>
        <w:rPr>
          <w:b/>
        </w:rPr>
        <w:t>E. 7</w:t>
      </w:r>
    </w:p>
    <w:p>
      <w:r>
        <w:t>Le recourant, qui succombe, supportera les frais envers l'État, fixés en totalité à CHF 600.- pour l'instance de recours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