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PS/2/2020 vom 5. Februar 2020</w:t>
      </w:r>
    </w:p>
    <w:p>
      <w:r>
        <w:t>GE Cour de justice, 2020-02-05, FR</w:t>
      </w:r>
    </w:p>
    <w:p>
      <w:r>
        <w:rPr>
          <w:b/>
        </w:rPr>
        <w:t xml:space="preserve">Quelle: </w:t>
      </w:r>
      <w:r>
        <w:t>https://mcp.opencaselaw.ch/entscheid/ge_gerichte_PS_2_2020</w:t>
      </w:r>
    </w:p>
    <w:p>
      <w:r>
        <w:t>FR: GE_GERICHTE PS/2/2020 du 5 février 2020</w:t>
      </w:r>
    </w:p>
    <w:p>
      <w:r>
        <w:t>IT: GE_GERICHTE PS/2/2020 del 5 febbraio 2020</w:t>
      </w:r>
    </w:p>
    <w:p>
      <w:pPr>
        <w:pStyle w:val="Heading2"/>
      </w:pPr>
      <w:r>
        <w:t>Regeste</w:t>
      </w:r>
    </w:p>
    <w:p>
      <w:r>
        <w:t>RÉCUSATION;EXPERT | CPP.56.alf</w:t>
      </w:r>
    </w:p>
    <w:p>
      <w:pPr>
        <w:pStyle w:val="Heading2"/>
      </w:pPr>
      <w:r>
        <w:t>Erwägungen</w:t>
      </w:r>
    </w:p>
    <w:p>
      <w:r>
        <w:rPr>
          <w:b/>
        </w:rPr>
        <w:t>E. 1</w:t>
      </w:r>
    </w:p>
    <w:p>
      <w:r>
        <w:t>Selon une jurisprudence constante, l'autorité de recours au sens de l'art. 20 CPP est l'autorité compétente pour statuer sur une demande de récusation visant un expert (art. 59 al. 1 let. b CPP applicable par analogie; arrêts du Tribunal fédéral 1B_433/2016 du 17 janvier 2017 consid. 1.2; 1B_196/2016 du 1 er juillet 2016 consid. 2; 1B_712/2012 du 18 février 2013 consid. 1; 1B_243/2012 du 9 mars 2012 consid. 1.2; 1B_488/2011 du 2 décembre 2011 consid. 1.1), de sorte que la Chambre de céans est compétente à raison de la matière ( ACPR/491/2012 du 14 novembre 2012). En particulier, il ne revenait pas au tribunal de première instance de statuer sur la requête dont il était saisi (cf. arrêt du Tribunal fédéral 1B_148/2017 du 6 juillet 2017 consid. 2.1.), et c'est donc à juste titre que la requête a été transmise à la Chambre de céans. On pourrait aussi se demander si, en nommant l'expert pressenti nonobstant le refus exprimé par le requérant, le premier juge ne s'est pas implicitement arrogé la compétence de se prononcer sur la récusation, mais la saisine de l'autorité de recours ne s'en trouverait pas modifiée ( ibid. ). Prévenu, A______ a qualité pour agir (art. 104 al. 1 let. a CPP et, par analogie, 58 al. 1 CPP).</w:t>
      </w:r>
    </w:p>
    <w:p>
      <w:r>
        <w:rPr>
          <w:b/>
        </w:rPr>
        <w:t>E. 2</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En l'espèce, même si le recourant pouvait se rendre compte sans difficulté à réception de la lettre du Tribunal de police du 30 octobre 2019 - i.e. sans prolongation de délai - que le D r B______ avait été pressenti pour mener l'expertise, la Chambre de céans retiendra, en raison de la prolongation du délai accordée par le premier juge pour que le requérant se détermine, que la demande de récusation intervient encore "sans délai".</w:t>
      </w:r>
    </w:p>
    <w:p>
      <w:r>
        <w:rPr>
          <w:b/>
        </w:rPr>
        <w:t>E. 3</w:t>
      </w:r>
    </w:p>
    <w:p>
      <w:r>
        <w:t>Le requérant se prévaut de l'art. 56 let. f CPP.</w:t>
      </w:r>
    </w:p>
    <w:p>
      <w:r>
        <w:rPr>
          <w:b/>
        </w:rPr>
        <w:t>E. 3.1</w:t>
      </w:r>
    </w:p>
    <w:p>
      <w:r>
        <w:t>Par renvoi de l'art. 183 al. 3 CPP, l'art. 56 CPP s'applique à la récusation d'un expert. L'exigence d'un procès équitable commande que l'impartialité de l'expert soit garantie (ATF 125 II 541 ; arrêt du Tribunal fédéral 6B_258/2011 du 22 août 2011 consid. 1.3.1). Quant à l'art. 56 let. f CPP - invoqué par le requérant-, il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(ATF 141 IV 178 consid. 3.2.1 p. 179 et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3.2</w:t>
      </w:r>
    </w:p>
    <w:p>
      <w:r>
        <w:t>En l'espèce,on ne voit pas en quoi les " faits erronés " mis en exergue par le requérant fonderaient une apparence d'inimitié chez le cité. Les deux erreurs que le requérant mettait d'emblée en évidence tombent d'autant plus à faux que le cité les avait rectifiées, apparemment spontanément, dès le 22 décembre 2016. Les mentions que le requérant était détenu au moment de l'expertise et que l'entretien avait, dès lors, eu lieu dans l'établissement de détention ne sauraient être comprises comme des appréciations, qui plus est défavorables à l'expertisé. Quant à la transmission du rapport à des membres de la famille du requérant, elle ne saurait être imputée au cité, qui relève, sans avoir été contredit, que c'est l'autorité judiciaire, et non lui, qui avait assumé la diffusion du document. Pareille assertion est, au demeurant, conforme à la procédure en la matière (art. 188 CPP). Quant à savoir si la future mise en présence du cité et du requérant " se passerait mal ", comme l'augure le certificat médical du 15 novembre 2019, elle est étrangère aux critères dégagés à propos de l'art. 56 let. f CPP. Pareille supputation renvoie davantage à l'état d'esprit prêté au recourant par l'auteur du certificat médical qu'aux qualités d'impartialité de l'expert. Pour le surplus, la question n'est pas de savoir si l'expertise rendue en 2016 convient au requérant - qui aura tout loisir de s'en expliquer aux débats, le cas échéant -, mais si son état de santé physique et mental depuis l'envoi de la convocation aux débats du 4 septembre 2019 le rend capable de part aux débats (art. 114 al. 1 CPP).</w:t>
      </w:r>
    </w:p>
    <w:p>
      <w:r>
        <w:rPr>
          <w:b/>
        </w:rPr>
        <w:t>E. 6</w:t>
      </w:r>
    </w:p>
    <w:p>
      <w:r>
        <w:t>Il résulte de ce qui précède que la requête doit être écartée sous tous ses aspects.</w:t>
      </w:r>
    </w:p>
    <w:p>
      <w:r>
        <w:rPr>
          <w:b/>
        </w:rPr>
        <w:t>E. 7</w:t>
      </w:r>
    </w:p>
    <w:p>
      <w:r>
        <w:t>Vu l'issue de la cause, les frais de la procédure, qui comprendront un émolument de CHF 1'000.-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