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PS/29/2023 vom 4. Mai 2023</w:t>
      </w:r>
    </w:p>
    <w:p>
      <w:r>
        <w:t>GE Cour de justice, 2023-05-04, FR</w:t>
      </w:r>
    </w:p>
    <w:p>
      <w:r>
        <w:rPr>
          <w:b/>
        </w:rPr>
        <w:t xml:space="preserve">Quelle: </w:t>
      </w:r>
      <w:r>
        <w:t>https://mcp.opencaselaw.ch/entscheid/ge_gerichte_PS_29_2023</w:t>
      </w:r>
    </w:p>
    <w:p>
      <w:r>
        <w:t>FR: GE_GERICHTE PS/29/2023 du 4 mai 2023</w:t>
      </w:r>
    </w:p>
    <w:p>
      <w:r>
        <w:t>IT: GE_GERICHTE PS/29/2023 del 4 maggio 2023</w:t>
      </w:r>
    </w:p>
    <w:p>
      <w:pPr>
        <w:pStyle w:val="Heading2"/>
      </w:pPr>
      <w:r>
        <w:t>Regeste</w:t>
      </w:r>
    </w:p>
    <w:p>
      <w:r>
        <w:t>RÉCUSATION;MINISTÈRE PUBLIC;CUMUL(QUANTITÉ) | CPP.56.letf; CPP.61</w:t>
      </w:r>
    </w:p>
    <w:p>
      <w:pPr>
        <w:pStyle w:val="Heading2"/>
      </w:pPr>
      <w:r>
        <w:t>Erwägungen</w:t>
      </w:r>
    </w:p>
    <w:p>
      <w:r>
        <w:rPr>
          <w:b/>
        </w:rPr>
        <w:t>E. 1.1</w:t>
      </w:r>
    </w:p>
    <w:p>
      <w:r>
        <w:t>Partie à la procédure P/1______/2022, en tant que prévenu (art. 104 al. 1 let. a CPP), le requérant a qualité pour agir (art. 58 al. 1 CPP), et la Chambre de céans est compétente pour connaître de sa requête, dirigée contre un membre du ministère public (art. 59 al. 1 let. b CPP et 128 al. 2 let. a LOJ).![endif]&gt;![if&gt;</w:t>
      </w:r>
    </w:p>
    <w:p>
      <w:r>
        <w:rPr>
          <w:b/>
        </w:rPr>
        <w:t>E. 1.2</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constitue la " goutte d'eau qui fait déborder le vase ". Dans un tel cas toutefois, l'examen des événements passés, dans le cadre d'une appréciation globale, n'est admis que pour autant que la dernière occurrence constitue en elle-même un motif de récusation ou à tout le moins un indice en faveur d'une apparence de prévention (arrêt du Tribunal fédéral 1B_118/2020 du 27 juillet 2020 consid. 3.2).</w:t>
      </w:r>
    </w:p>
    <w:p>
      <w:r>
        <w:rPr>
          <w:b/>
        </w:rPr>
        <w:t>E. 1.3</w:t>
      </w:r>
    </w:p>
    <w:p>
      <w:r>
        <w:t>En l'espèce, le requérant reproche au cité une série de comportements depuis son extradition le 5 janvier 2023 qui, pris isolément ou cumulés, lui font douter de son impartialité. Plus précisément, il considère que la prévention du cité à son égard serait démontrée par les " deux arrêts de la Chambre de recours " qu'il estime " suffisamment éloquents " pour justifier sa demande. Il fait vraisemblablement référence à l'arrêt du 1 er mars 2023 ordonnant sa mise en liberté sous mesures de substitution, ainsi qu'à l'ordonnance du 2 mars 2023 interdisant au Ministère public de verser à la procédure les pièces des procédures pénales le concernant jusqu'à droit juger sur son recours. Formulée lors de l'audience qui s'est tenue devant le Ministère public dans la semaine suivant la réception des arrêts précités, la requête de récusation doit donc être considérée comme l'ayant été en temps utile. Elle est, partant, recevable.</w:t>
      </w:r>
    </w:p>
    <w:p>
      <w:r>
        <w:rPr>
          <w:b/>
        </w:rPr>
        <w:t>E. 2.1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143 IV 69 consid. 3.2).![endif]&gt;![if&gt; L'impartialité subjective d'un magistrat se présume jusqu'à preuve du contraire (ATF 136 III 605 consid. 3.2.1; arrêt du Tribunal fédéral 6B_621/2011 du 19 décembre 2011; arrêt de la CourEDH Lindon , § 76).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 cf. l'arrêt 1C_425/2017 précité, consid. 3.3). L'inimitié au sens de l'art. 56 let. f CPP exige un rapport négatif prononcé à l'égard d'une partie, qui s'écarte des comportements sociaux habituels (" sozial Üblichen ")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arrêts du Tribunal fédéral 1B_214/2016 du 28 juillet 2016 consid. 3.3 et les références citées; 1B_189/2013 du 18 juin 2013 consid. 2.2/3.1).</w:t>
      </w:r>
    </w:p>
    <w:p>
      <w:r>
        <w:rPr>
          <w:b/>
        </w:rPr>
        <w:t>E. 2.2</w:t>
      </w:r>
    </w:p>
    <w:p>
      <w:r>
        <w:t>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2.2.1).![endif]&gt;![if&gt;</w:t>
      </w:r>
    </w:p>
    <w:p>
      <w:r>
        <w:rPr>
          <w:b/>
        </w:rPr>
        <w:t>E. 2.3</w:t>
      </w:r>
    </w:p>
    <w:p>
      <w:r>
        <w:t>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Basler Kommentar StPO/JStPO , Bâle 2014, n. 59 ad art. 56 CPP).![endif]&gt;![if&gt;</w:t>
      </w:r>
    </w:p>
    <w:p>
      <w:r>
        <w:rPr>
          <w:b/>
        </w:rPr>
        <w:t>E. 2.4</w:t>
      </w:r>
    </w:p>
    <w:p>
      <w:r>
        <w:t>En l'espèce, le Procureur, qui a retenu une violation des mesures de substitution en raison des rendez-vous manqués au SPI, a été suivi par le TMC. Le requérant ne saurait ainsi prétendre que ce serait sur la base de motifs erronés ou tenant à une inimitié contre lui que le cité a décidé de procéder à son arrestation le 31 janvier 2023 et à sa réincarcération.![endif]&gt;![if&gt; Que la Chambre de céans ait ensuite annulé cette décision et ordonné la remise en liberté de l'intéressé ne constitue pas un signe de prévention du cité, sous peine de quoi chaque magistrat désavoué par une instance de contrôle serait récusable. Par ailleurs, le requérant adresse divers reproches au cité qui l'auraient conduit à ne pas avoir eu connaissance du rendez-vous litigieux. Assisté de son conseil lors de l'audience du 27 janvier 2023, on ne peut toutefois voir de prévention dans le fait que le Procureur n'aurait pas lu les mesures de substitution au requérant lors de celle-ci ou dans le fait qu'il ne lui aurait pas laissé un temps suffisant pour relire le procès-verbal avant signature. Il ne nie par ailleurs pas que son conseil ait reçu une copie dudit procès-verbal, dans lequel figuraient la date et l'heure du rendez-vous du 31 janvier 2023. De plus, la Chambre de céans n'a pas manqué de souligner dans son arrêt du 1 er mars 2023 que le requérant ne paraissait pas avoir mis de zèle particulier à se rendre au SPI et que son attente d'une prétendue convocation pouvait étonner, puisqu'il s'était rendu au SPI le 18 janvier 2023 sans en avoir reçu une. Partant, aucune prévention ne résulte de ce qui précède. La prétendue augmentation de la fréquence des rendez-vous au SPI (de mensuelle à bimensuelle) à l'insu du requérant ne saurait fonder aucune prévention du Procureur à son égard. En effet, les mesures de substitution en vigueur début mars 2023 prévoyaient une fréquence mensuelle minimum, de sorte que cela ne sort pas du cadre fixé. Enfin, dans l'optique d'un mandat d'expertise psychiatrique du requérant, la demande du cité de verser au dossier certaines pièces ressortant de condamnations antérieures éliminées du casier judiciaire de l'intéressé ne constitue pas non plus un motif de récusation. Celle-ci – dont le bien-fondé a entre-temps été confirmé par la Chambre de céans le 12 avril 2023 – se contente de traduire la volonté du législateur de réduire la portée du droit à l'oubli inscrite dans la nouvelle Loi fédérale sur le casier judiciaire informatique VOSTRA (LCJ; RS 330), entrée en vigueur le 23 janvier 2023 et abrogeant les 365 à 371a aCP (RO 2022 600; cf. Y. JEANNERET, Le droit à l'oubli et l'envie de se souvenir, in Crimes et Châtiment: Mélanges en l'honneur du Pr Laurent Moreillon , Berne 2022, p. 209; A. MACALUSO / L. MOREILLON / N. QUELOZ (éds), Commentaire romand, Code pénal II, Partie spéciale: art. 111-392 CP, Bâle 2017 , n. 4 ad Rem. prél. aux art. 365-371; cf. au surplus arrêt de la Chambre de céans du 12 avril 2023) afin d'assurer aux experts, respectivement à l'autorité pénale, une vision complète du sujet à expertiser. Partant, l'ensemble des griefs formulés, même pris cumulativement, ne révèlent aucun indice de prévention du Procureur à l'endroit du requérant.</w:t>
      </w:r>
    </w:p>
    <w:p>
      <w:r>
        <w:rPr>
          <w:b/>
        </w:rPr>
        <w:t>E. 2.5</w:t>
      </w:r>
    </w:p>
    <w:p>
      <w:r>
        <w:t>Seuls les arrêts des 1 er et 2 mars 2023 rendus par la Chambre de céans – et les éléments en lien avec ceux-ci – ainsi que l'augmentation présumée de la fréquence des rendez-vous au SPI entrent en ligne de compte en tant que faits nouvellement découverts et " faisant déborder le vase " au sens de la jurisprudence. Ces dernières occurrences ne constituant pas des indices en faveur d'une prévention, les autres griefs du requérant – antérieurs –, soit notamment que le Procureur aurait sciemment entrepris des démarches afin de prolonger sa détention en France, pris isolément ou dans leur ensemble, doivent par conséquent être qualifiés de tardifs.</w:t>
      </w:r>
    </w:p>
    <w:p>
      <w:r>
        <w:rPr>
          <w:b/>
        </w:rPr>
        <w:t>E. 3</w:t>
      </w:r>
    </w:p>
    <w:p>
      <w:r>
        <w:t>La requête de récusation sera par conséquent rejetée. ![endif]&gt;![if&gt;</w:t>
      </w:r>
    </w:p>
    <w:p>
      <w:r>
        <w:rPr>
          <w:b/>
        </w:rPr>
        <w:t>E. 4</w:t>
      </w:r>
    </w:p>
    <w:p>
      <w:r>
        <w:t>Le requérant, qui succombe, supportera les frais de la procédure (art. 59 al. 4 CPP), fixés en totalité à CHF 1'000.-, émolument compris (art. 13 let. b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