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PS/29/2020 vom 2. Juli 2020</w:t>
      </w:r>
    </w:p>
    <w:p>
      <w:r>
        <w:t>GE Cour de justice, 2020-07-02, FR</w:t>
      </w:r>
    </w:p>
    <w:p>
      <w:r>
        <w:rPr>
          <w:b/>
        </w:rPr>
        <w:t xml:space="preserve">Quelle: </w:t>
      </w:r>
      <w:r>
        <w:t>https://mcp.opencaselaw.ch/entscheid/ge_gerichte_PS_29_2020</w:t>
      </w:r>
    </w:p>
    <w:p>
      <w:r>
        <w:t>FR: GE_GERICHTE PS/29/2020 du 2 juillet 2020</w:t>
      </w:r>
    </w:p>
    <w:p>
      <w:r>
        <w:t>IT: GE_GERICHTE PS/29/2020 del 2 luglio 2020</w:t>
      </w:r>
    </w:p>
    <w:p>
      <w:pPr>
        <w:pStyle w:val="Heading2"/>
      </w:pPr>
      <w:r>
        <w:t>Regeste</w:t>
      </w:r>
    </w:p>
    <w:p>
      <w:r>
        <w:t>RÉCUSATION;MINISTÈRE PUBLIC | CPP.56.alf; CPP.61</w:t>
      </w:r>
    </w:p>
    <w:p>
      <w:pPr>
        <w:pStyle w:val="Heading2"/>
      </w:pPr>
      <w:r>
        <w:t>Erwägungen</w:t>
      </w:r>
    </w:p>
    <w:p>
      <w:r>
        <w:rPr>
          <w:b/>
        </w:rPr>
        <w:t>E. 1</w:t>
      </w:r>
    </w:p>
    <w:p>
      <w:r>
        <w:t>La Chambre de céans est compétente pour connaître d'une requête en récusation dirigée contre un membre du ministère public (art. 59 al. 1 let. b CPP et 128 al. 2 let. a LOJ).</w:t>
      </w:r>
    </w:p>
    <w:p>
      <w:r>
        <w:rPr>
          <w:b/>
        </w:rPr>
        <w:t>E. 2</w:t>
      </w:r>
    </w:p>
    <w:p>
      <w:r>
        <w:t>Point n'est besoin d'examiner si la requête a été formé en temps utile (art. 58 al. 1 CPP), puisqu'elle est infondée.</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 3 e éd., Zurich 2017,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rPr>
          <w:b/>
        </w:rPr>
        <w:t>E. 3.3</w:t>
      </w:r>
    </w:p>
    <w:p>
      <w:r>
        <w:t>En l'espèce, le requérant ne reproche pas à B______ d'avoir émis de sérieux doutes sur l' "attestation" qu'il avait produite à l'appui de sa demande de révision - doutes qui ont au demeurant été partagés par la CPAR - mais d'avoir, dans le cadre de ses déterminations devant cette autorité, estimé qu'il n'était pas exclu que le prévenu fournisse, dans une autre procédure ayant donné lieu au prononcé de l'ordonnance pénale du 15 janvier 2020 et plus précisément à l'occasion de sa future confrontation avec le toxicomane D______ le mettant en cause, les mêmes explications qu'il avait déjà plaidées à l'époque dans le cadre des dépositions de C______ à la police (prétendues pressions policières, antécédents judiciaires du toxicomane, mensonges de ce dernier, etc.). Or, ce n'est pas B______ qui est chargé de l'instruction de cette autre procédure, en réalité la P/4______/2020, mais un autre procureur. Le requérant ne saurait ainsi reprocher au cité un éventuel parti pris contre lui dans le cadre de ladite procédure. La procédure P/1______/2018 ayant été clôturée par un jugement condamnatoire entré en force ( AARP/77/2019 ), le devoir de réserve et d'impartialité de B______, de surcroît dans le cadre de la demande en révision - ne saurait avoir la même acuité qu'au stade de l'instruction. Les propos litigieux tenus par ce magistrat - pour autant qu'ils aient été pertinents - ne sont pas de nature à le rendre partial.</w:t>
      </w:r>
    </w:p>
    <w:p>
      <w:r>
        <w:rPr>
          <w:b/>
        </w:rPr>
        <w:t>E. 4</w:t>
      </w:r>
    </w:p>
    <w:p>
      <w:r>
        <w:t>Il résulte de ce qui précède que la requête doit être écartée.</w:t>
      </w:r>
    </w:p>
    <w:p>
      <w:r>
        <w:rPr>
          <w:b/>
        </w:rPr>
        <w:t>E. 5</w:t>
      </w:r>
    </w:p>
    <w:p>
      <w:r>
        <w:t>Vu l'issue de la cause, les frais de la procédure, fixés en totalité à CHF 1'000.- (art. 13 al. 1 let. b. du Règlement fixant le tarif des frais en matière pénale, RTFMP; E 4 10.03), seront mis à la charge du requérant (art. 59 al. 4, 2e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