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PS/25/2021 vom 14. Juli 2021</w:t>
      </w:r>
    </w:p>
    <w:p>
      <w:r>
        <w:t>GE Cour de justice, 2021-07-14, FR</w:t>
      </w:r>
    </w:p>
    <w:p>
      <w:r>
        <w:rPr>
          <w:b/>
        </w:rPr>
        <w:t xml:space="preserve">Quelle: </w:t>
      </w:r>
      <w:r>
        <w:t>https://mcp.opencaselaw.ch/entscheid/ge_gerichte_PS_25_2021</w:t>
      </w:r>
    </w:p>
    <w:p>
      <w:r>
        <w:t>FR: GE_GERICHTE PS/25/2021 du 14 juillet 2021</w:t>
      </w:r>
    </w:p>
    <w:p>
      <w:r>
        <w:t>IT: GE_GERICHTE PS/25/2021 del 14 luglio 2021</w:t>
      </w:r>
    </w:p>
    <w:p>
      <w:pPr>
        <w:pStyle w:val="Heading2"/>
      </w:pPr>
      <w:r>
        <w:t>Regeste</w:t>
      </w:r>
    </w:p>
    <w:p>
      <w:r>
        <w:t>REVISION | CPP.410</w:t>
      </w:r>
    </w:p>
    <w:p>
      <w:pPr>
        <w:pStyle w:val="Heading2"/>
      </w:pPr>
      <w:r>
        <w:t>Erwägungen</w:t>
      </w:r>
    </w:p>
    <w:p>
      <w:r>
        <w:rPr>
          <w:b/>
        </w:rPr>
        <w:t>E. 1</w:t>
      </w:r>
    </w:p>
    <w:p>
      <w:r>
        <w:t>1.1.1. La Chambre pénale d’appel et de révision est l'autorité compétente en matière de révision à compter du 1 er janvier 2011 (art. 21 al. 1 let. b du Code procédure pénale [CPP] cum art. 130 al. 1 let. a de la loi d'organisation judiciaire [LOJ]). Lorsque des contraventions font seules l'objet du prononcé attaqué et que l'appel ou la demande de révision ne vise pas une déclaration de culpabilité pour un crime ou un délit, la direction de la procédure statue (art. 129 al. 4 LOJ). 1.1.2. Suite à sa transmission par l'OCE, la demande de révision a été formée par devant l’autorité compétente et selon la forme prévue par la loi (art. 411 al. 1 CPP). 1.1.3.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La révision ne sert toutefois pas à remédier aux erreurs ou omissions de l'intéressé dans une procédure précédente close par un jugement entré en force (arrêt du Tribunal fédéral 6B_22/2018 du 15 mars 2018 consid. 5 ; A. KUHN / Y. JEANNERET, Commentaire romand du code de procédure pénale , 2 ème édition, Bâle, 2019, note 22 ad art. 410).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6B_866/2014 du 26 février 2015 consid. 1.2). 1.1.4.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(arrêt du Tribunal fédéral 6B_662/2019 du 23 août 2019 consid. 1.1). Il en va de même de celui qui invoque, à l'appui d'une demande de révision, un moyen de preuve qui existait déjà au moment de la procédure de condamnation et dont il avait connaissance ; il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(arrêt du Tribunal fédéral 6B_942/2010 du 7 novembre 2011 consid. 2.2.1). 1.1.5. Il s'agit d'examiner dans chaque cas, au regard des circonstances de l'espèce, si la demande de révision est abusive, soit notamment si elle tend à contourner les voies de droit ordinaires (ATF 145 IV 197 consid. 1.1).</w:t>
      </w:r>
    </w:p>
    <w:p>
      <w:r>
        <w:rPr>
          <w:b/>
        </w:rPr>
        <w:t>E. 1.2</w:t>
      </w:r>
    </w:p>
    <w:p>
      <w:r>
        <w:t>En l'espèce, la demande en révision apparaît d'emblée mal fondée. En effet, l'ordonnance pénale du 29 mars 2019 a été valablement notifiée dès lors qu'elle a été reçue par la demanderesse en révision qui l'a transmise à son conseil de l'époque. L'ordonnance pénale précisait expressément quelles étaient les voies de droit qui devaient être suivies en cas d'opposition, particulièrement le respect du délai de dix jours durant lequel celle-ci devait intervenir. A cette période, A______ était parfaitement en mesure de former son opposition et l'intégralité des faits qu'elle soulève dans sa demande en révision lui étaient connus. Il était patent que l'ordonnance pénale provenait de l'OCE et qu'elle la visait personnellement, ne pouvant dès lors être confondue avec une procédure prud'homale débutante. Il ne saurait être admis comme motif de révision que l'OCE a pris son ordonnance pénale en ignorant les motivations de A______. Il a été demandé à cette dernière par C______ [caisse de chômage] de fournir certains documents, ce qu'elle était en mesure de faire, à tout le moins d'expliquer pourquoi elle ne l'aurait pas pu. Elle ne s'est pas manifestée. L'OCE a pris la peine de lui adresser deux plis, dont un recommandé, pour l'informer de ce qu'une sanction pénale pouvait être prononcée à son encontre, tout en lui fixant un délai pour se manifester. Là-également, rien n'a été fait, l'OCE étant donc fondé à prendre sa décision. Ultérieurement, A______ pouvait encore réagir en s'opposant à l'ordonnance pénale, ce qu'elle n'a pas non plus fait, alors même qu'elle l'avait en main. Il est, de plus, souligné que selon les explications qu'elle donne dans sa demande en révision, A______ était assistée d'un conseil à l'époque des faits, à qui elle a transmis l'ordonnance pénale et qu'elle a donc très vraisemblablement discuté avec ce dernier de la problématique liée à l'engagement de B______. Les circonstances appelaient donc à ce qu'elle se manifeste. Il est d'ailleurs rappelé à cet égard que, selon la jurisprudence, le comportement fautif de l'avocat est en principe imputable à son client (arrêts du Tribunal fédéral 6B_722/2014 du 17 décembre 2014 consid. 2.1 ; 6F_15/2013 du 29 octobre 2013 consid. 2.3 ; 6B_503/2013 du 27 août 2013 consid. 3.3 et 3.4). En conséquence, A______ devait user de la procédure ordinaire en faisant valoir tous ses arguments qu'elle connaissait déjà pour s'opposer à l'ordonnance pénale. Il n'existe aucun motif légitime pour ne pas avoir procédé de la sorte. Dès lors, il ne sera pas entré en matière sur la demande de révision, laquelle doit être qualifiée d'abusive. 2. 2.1. Selon l'art. 428 al. 1, première phrase, CPP, les frais de la procédure de recours sont mis à la charge des parties dans la mesure où elles ont obtenu gain de cause ou succombé. 2.2. En l'espèce, vu l'issue de la demande en révision, A______ supportera les frais de la procédure de révision comprenant un émolument de décision de CHF 1'000.-. *** PAR CES MOTIFS, LE PRESIDENT DE LA CHAMBRE PENALE D'APPEL ET DE REVISION : Déclare irrecevable la demande de révision formée le 10 février 2021 par A______ contre l'ordonnance pénale rendue le 29 mars 2019 par l'Office cantonal de l'emploi. Met les frais de la procédure de révision en CHF 1'115.- à la charge de A______, lesquels comprennent un émolument d'arrêt de CHF 1'000.-. Notifie le présent arrêt aux parties. Le greffier : Oscar LÜSCHER Le président : Pierre BUNGENER e.r.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1'000.00 Total des frais de la procédure d'appel : CHF 1'115.00</w:t>
      </w:r>
    </w:p>
    <w:p>
      <w:r>
        <w:rPr>
          <w:b/>
        </w:rPr>
        <w:t>E. 6</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 L'examen préalable et sommaire porte principalement sur les conditions formelles de recevabilité de la demande de révision. L'autorité saisie peut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(arrêt du Tribunal fédéral 6B_1214/2015 du 30 août 2016 consid. 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