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PS/25/2019 vom 25. Juni 2019</w:t>
      </w:r>
    </w:p>
    <w:p>
      <w:r>
        <w:t>GE Cour de justice, 2019-06-25, FR</w:t>
      </w:r>
    </w:p>
    <w:p>
      <w:r>
        <w:rPr>
          <w:b/>
        </w:rPr>
        <w:t xml:space="preserve">Quelle: </w:t>
      </w:r>
      <w:r>
        <w:t>https://mcp.opencaselaw.ch/entscheid/ge_gerichte_PS_25_2019</w:t>
      </w:r>
    </w:p>
    <w:p>
      <w:r>
        <w:t>FR: GE_GERICHTE PS/25/2019 du 25 juin 2019</w:t>
      </w:r>
    </w:p>
    <w:p>
      <w:r>
        <w:t>IT: GE_GERICHTE PS/25/2019 del 25 giugno 2019</w:t>
      </w:r>
    </w:p>
    <w:p>
      <w:pPr>
        <w:pStyle w:val="Heading2"/>
      </w:pPr>
      <w:r>
        <w:t>Regeste</w:t>
      </w:r>
    </w:p>
    <w:p>
      <w:r>
        <w:t>RÉCUSATION ; RELATIONS PERSONNELLES ; PLAINTE PÉNALE | CPP.56.letf</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ministère public (art. 59 al. 1 let. b CPP et 128 al. 2 let. a LOJ).</w:t>
      </w:r>
    </w:p>
    <w:p>
      <w:r>
        <w:rPr>
          <w:b/>
        </w:rPr>
        <w:t>E. 2</w:t>
      </w:r>
    </w:p>
    <w:p>
      <w:r>
        <w:t>Le cité s'interroge sur la tardiveté de la requête, au motif qu'il avait convoqué la requérante à titre de prévenue par mandat de comparution du 4 avril 2019, soit près d'un mois avant le dépôt de la demande. Cependant, le dossier n'établit pas quand la requérante a reçu la notification de sa citation, postée sous simple pli. Par conséquent, et même si le statut sous lequel elle serait entendue est sans pertinence à cet égard, la requérante n'a pas agi tardivement en postant sa demande le jour même après sa comparution. Au surplus, le dossier ne lui étant pas forcément ouvert avant l'administration des preuves principales (art. 101 al. 1 CPP), elle n'aurait pas pu savoir avant l'audience du 3 mai 2019 si la plainte pénale qui lui valait sa convocation avait été formellement déposée contre elle, soit le motif qui, selon elle, imposerait la récusation du cité.</w:t>
      </w:r>
    </w:p>
    <w:p>
      <w:r>
        <w:rPr>
          <w:b/>
        </w:rPr>
        <w:t>E. 3</w:t>
      </w:r>
    </w:p>
    <w:p>
      <w:r>
        <w:t>La requérante estime réalisée la cause de récusation énoncée à l'art. 56 let. f CPP, car le cité l'avait prévenue de diffamation par suite d'une plainte pénale qui ne la visait pas nominativement.</w:t>
      </w:r>
    </w:p>
    <w:p>
      <w:r>
        <w:rPr>
          <w:b/>
        </w:rPr>
        <w:t>E. 3.1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Schweizerische Strafprozessordnung : Praxiskommentar , 3 e éd., Zurich 2017, n. 14 ad art. 56).</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 ACPR/292/2011 du 14 octobre 2011 consid. 2.1.).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3.3</w:t>
      </w:r>
    </w:p>
    <w:p>
      <w:r>
        <w:t>Par ailleurs, on ne saurait, sous peine de compromettre le fonctionnement normal des tribunaux, admettre que le moindre lien entre un juge et une partie suffirait à fonder une apparence de prévention et conduire à la récusation du magistrat concerné : le lien doit, par son intensité et sa qualité, être de nature à faire craindre objectivement qu'il influence le juge dans la conduite de la procédure et dans sa décision. Les juges ne peuvent, en effet, être soustraits à toute réalité sociale; ils sont intégrés à la société et y participent, nouant inévitablement des contacts affectifs, familiaux, commerciaux et culturels. Leur aptitude à se prononcer de manière impartiale et indépendante ne saurait être mise en doute par principe; ils sont en mesure de se placer constamment au-dessus des parties et de forger leur propre opinion au sujet de la cause déférée au tribunal. Elle ne fait défaut que lorsqu'ils se trouvent dans la sphère d'influence des parties (ATF 144 I 159 consid. 4.4 p. 163 s.).</w:t>
      </w:r>
    </w:p>
    <w:p>
      <w:r>
        <w:rPr>
          <w:b/>
        </w:rPr>
        <w:t>E. 3.4</w:t>
      </w:r>
    </w:p>
    <w:p>
      <w:r>
        <w:t>En l'espèce, comme le soulève le cité avec pertinence, la validité ou l'étendue de la plainte pénale qu'il est chargé d'instruire est un grief relevant des conditions de fond de la poursuite, à l'instar du respect du délai légal pour déposer plainte (cf. arrêt du Tribunal fédéral 1B______/2018 du 29 mai 2018 consid. 3.3.). Une mise en prévention relève de la conduite de l'instruction, et si, dans ce cadre, un magistrat prend des décisions juridiquement erronées, il appartient à l'autorité de recours de les redresser et au juge du fond d'acquitter. On ne saurait discerner d'emblée dans l'acte de procédure litigieux une erreur particulièrement lourde du cité, de nature à faire naître une suspicion de partialité. En tout état, si l'on devait arriver à la conclusion que les conditions de la poursuite n'étaient pas réalisées, cela se traduirait, tôt ou tard, par un classement ou un acquittement en faveur de la requérante. Il faut ainsi considérer que la voie de la récusation n'est pas appropriée pour régler la question juridique soulevée par celle-ci (arrêt du Tribunal fédéral 1C_425/2017 du 24 octobre 2017 consid. 3.3 = SJ 2018 I 175). Enfin, on ne voit pas comment le fait d'avoir convoqué la requérante sans lui avoir offert préalablement la possibilité de s'exprimer par écrit, à la différence de D______, serait l'indice d'une favorisation de la plaignante. Par ailleurs, les relations sociales du cité avec la plaignante n'apparaissent nullement " étroites ", comme l'affirme la requérante, qui n'a pas contesté les explications fournies par le cité dans ses observations, selon lesquelles il avait uniquement eu des échanges professionnels avec elle, lors de deux manifestations de formation continue. Sa participation à ces événements placés sous l'égide des HUG - un séminaire présidé par la plaignante en 2016 et regroupant neuf intervenants (dont le cité), ainsi qu'une conférence en 2017, où cette dernière était une intervenante au même titre que lui, parmi dix orateurs - n'est pas de nature à faire conclure que le magistrat serait dans la sphère d'influence de la plaignante. On ne saurait parler ni de relation personnelle ni de relation d'amitié. La requête s'avère infondée sous tous ses aspects et doit être rejetée.</w:t>
      </w:r>
    </w:p>
    <w:p>
      <w:r>
        <w:rPr>
          <w:b/>
        </w:rPr>
        <w:t>E. 4</w:t>
      </w:r>
    </w:p>
    <w:p>
      <w:r>
        <w:t>Vu l'issue de la cause, les frais de la procédure, qui comprendront un émolument de CHF 1'000.- (art. 13 al. 1 let. b. du Règlement fixant le tarif des frais en matière pénale, RTFMP; E 4 10.03), seront mis à la charge de la requérante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