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PS/19/2022 vom 30. Mai 2022</w:t>
      </w:r>
    </w:p>
    <w:p>
      <w:r>
        <w:t>GE Cour de justice, 2022-05-30, FR</w:t>
      </w:r>
    </w:p>
    <w:p>
      <w:r>
        <w:rPr>
          <w:b/>
        </w:rPr>
        <w:t xml:space="preserve">Quelle: </w:t>
      </w:r>
      <w:r>
        <w:t>https://mcp.opencaselaw.ch/entscheid/ge_gerichte_PS_19_2022</w:t>
      </w:r>
    </w:p>
    <w:p>
      <w:r>
        <w:t>FR: GE_GERICHTE PS/19/2022 du 30 mai 2022</w:t>
      </w:r>
    </w:p>
    <w:p>
      <w:r>
        <w:t>IT: GE_GERICHTE PS/19/2022 del 30 maggio 2022</w:t>
      </w:r>
    </w:p>
    <w:p>
      <w:pPr>
        <w:pStyle w:val="Heading2"/>
      </w:pPr>
      <w:r>
        <w:t>Regeste</w:t>
      </w:r>
    </w:p>
    <w:p>
      <w:r>
        <w:t>EXPULSION(DROIT PÉNAL);RENVOI(DROIT DES ÉTRANGERS);REPORT(DÉPLACEMENT);IMPOSSIBILITÉ;ÉTAT TIERS | CP.66a</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attribuent.![endif]&gt;![if&gt;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 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w:t>
      </w:r>
    </w:p>
    <w:p>
      <w:r>
        <w:rPr>
          <w:b/>
        </w:rPr>
        <w:t>E. 1.2</w:t>
      </w:r>
    </w:p>
    <w:p>
      <w:r>
        <w:t>La procédure devant la Chambre de céans est régie par le CPP, applicable au titre de droit cantonal supplétif (art. 42 al. 2 LaCP).</w:t>
      </w:r>
    </w:p>
    <w:p>
      <w:r>
        <w:rPr>
          <w:b/>
        </w:rPr>
        <w:t>E. 1.3</w:t>
      </w:r>
    </w:p>
    <w:p>
      <w:r>
        <w:t>La lettre du recourant du 20 mai 2022 sera prise en considération, nonobstant l’expiration, le 10 précédent, du délai pour répliquer et faire état du refus de visa qui lui avait été opposé la veille de la réception de l’invitation à répliquer.</w:t>
      </w:r>
    </w:p>
    <w:p>
      <w:r>
        <w:rPr>
          <w:b/>
        </w:rPr>
        <w:t>E. 2</w:t>
      </w:r>
    </w:p>
    <w:p>
      <w:r>
        <w:t>2.1. L'art. 66 a al. 1 let. o CP dispose que le juge doit expulser un étranger du territoire suisse pour une durée de cinq à quinze ans si celui-ci, indépendamment de la quotité de la peine prononcée contre lui, a été condamné pour infraction à la LStup.</w:t>
      </w:r>
    </w:p>
    <w:p>
      <w:r>
        <w:rPr>
          <w:b/>
        </w:rPr>
        <w:t>E. 2.2</w:t>
      </w:r>
    </w:p>
    <w:p>
      <w:r>
        <w:t>Selon l'art. 66 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p. 460). Il appartient au juge de l'expulsion d'examiner si les conditions de la clause dite "de rigueur" de l'art. 66 a al. 2 CP sont réalisées et de renoncer à ordonner l'expulsion dans cette hypothèse. La loi ne définissant pas ce qui constitue une "situation personnelle grave" ,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ATF 144 IV 332 consid. 3.3.3 p. 341 s.). Par ailleurs, une situation personnelle grave, ou une violation de l'art. 8 CEDH, peut aussi résulter d'une expulsion ordonnée malgré un état de santé déficient, en fonction des prestations médicales à disposition dans l'État d'origine et des conséquences négatives que cela peut engendrer pour la personne concernée (ATF 145 IV 455 consid. 9.1 p. 459). En règle générale,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l'art. 66 d al. 1 CP (arrêt du Tribunal fédéral 6B_747/2019 du 24 juin 2020 consid. 2.1.2). Savoir si l'expulsion est conforme aux obligations découlant pour la Suisse de l'Accord sur la libre circulation des personnes (en particulier au regard de l'art. 5 Annexe I) constitue enfin un point qui doit également être examiné au stade du prononcé de l'expulsion déjà, mais indépendamment de l'exigence du cas de rigueur (arrêts du Tribunal fédéral 6B_1146/2018 du 8 novembre 2019 consid. 6 ss; 6B_907/2018 du 23 novembre 2018 consid. 2.4.2 s).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 d CP. La personne dont la décision d'expulsion est entrée en force n'a, dans cette mesure, pas d'intérêt à recourir contre une simple décision de mise en œuvre de son expulsion (ATF 147 IV 453 consid. 1.4.6 p. 462).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w:t>
      </w:r>
    </w:p>
    <w:p>
      <w:r>
        <w:rPr>
          <w:b/>
        </w:rPr>
        <w:t>E. 2.3</w:t>
      </w:r>
    </w:p>
    <w:p>
      <w:r>
        <w:t>En l'espèce, le recourant s'oppose à l'exécution de son expulsion au motif qu’il devrait lui être laissé une chance de se faire accorder un visa à destination de la France, où réside sa famille. Or, les formalités nécessaires au maintien ou au renouvellement de son titre de séjour dans cet État voisin n’ont jamais dépendu que de lui, et non des autorités helvétiques, car il ne saurait prétexter sa détention à raison d’infractions pénales commises sur le territoire suisse pour s'être abstenu de contacter les autorités françaises jusqu'au prononcé de la décision attaquée. Il a d’ailleurs pu le faire après cette date tout en restant privé de liberté. À cet égard, le recourant passe sous silence que, dans son message lui ouvrant la perspective d’un visa en France, tel que ce message est joint au recours (pièce n° 17), l’autorité consulaire française l’a averti que la décision sur cet objet pourrait se faire attendre plusieurs semaines et pourrait également être négative. Or, la lettre spontanée du recourant du 20 mai 2022 montre que cette dernière éventualité s’est avérée. Par ailleurs, le recourant, qui n'a pas appelé du jugement prononçant son expulsion judiciaire, alors même que sa situation familiale était la même qu'aujourd'hui, ne prétend pas être au bénéfice de garanties de droit international qui devraient l’autoriser à rester en Suisse pour raisons familiales qui n’y existent pas et n’apparaissent pas y avoir jamais existé. Un étranger peut, certes, se prévaloir de l'art. 8 § 1 CEDH (et de l'art. 13 Cst.), qui garantit notamment le droit au respect de la vie familiale, pour s'opposer à l'éventuelle séparation de sa famille, mais pour autant qu'il entretienne une relation étroite et effective avec une personne de sa famille ayant le droit de résider durablement en Suisse (ATF 144 II 1 consid. 6.1 p. 12; 139 I 330 consid. 2.1 p. 336 et les références citées). Le recourant ne prétend pas non plus être au bénéfice d’un droit à choisir l’État vers lequel il devrait être expulsé. On ne voit pas à quel titre la Suisse devrait reporter la mesure pour laisser la France l'accueillir, alors qu'il n'a précisément pas de document officiel émanant des autorités françaises qui l'autoriserait à s'y rendre et à y séjourner. L'hypothèse d'une réponse ultérieure favorable – mais à une date indéterminée – de cet État, sur recours, ne saurait paralyser la mise en œuvre d'une expulsion exécutoire du territoire helvétique. Ne revêtant pas la qualité de réfugié, le recourant ne peut pas non plus invoquer, dans cette mesure, la protection de l’art. 66 d al. 1 CP (cf. arrêt du Tribunal fédéral 6B_711/2021 du 30 mars 2022 consid. 2), ce qu’il ne fait au demeurant pas, même pas implicitement, puisqu’il n’allègue ni n’a jamais allégué aucun danger de subir au Nigéria des traitements prohibés par l'art. 3 CEDH. En d'autres termes, l'éventualité d'un droit au regroupement familial en France est une question qui ne regarde pas la Suisse et qui, dans l'affirmative, ne serait en tout cas pas compromise par le renvoi, dans l'intervalle, du recourant dans son pays d'origine, dans l'attente qu'il soit statué sur son admission en France. C’est en vain, aussi, que le recourant tente de se prévaloir de son état de santé. Aucune des pièces qu’il produit à cet égard ne montre qu’il suivrait en détention un traitement lourd ou contraignant ; à teneur de la plus récente de ces pièces (une « feuille de synthèse » datée du 25 mars 2022, pièce n° 9 jointe au recours), seule une médication lui est prescrite, dont le corps médical suggère l’augmentation. Le recourant n’apparaît donc pas inapte à entreprendre le voyage vers l’État dont il est ressortissant. Il ne rend pas davantage vraisemblable la modification d’aucune de ces circonstances depuis l’audience de jugement du 10 août 2021, de sorte que son intérêt juridique à recourir semblerait même faire défaut, au sens de la jurisprudence, d’autant plus que le temps écoulé depuis lors n’est que de quelques mois. En résumé, l’OCPM a retenu à juste titre qu’aucun obstacle n’empêchait d’exécuter son expulsion vers le Nigéria.</w:t>
      </w:r>
    </w:p>
    <w:p>
      <w:r>
        <w:rPr>
          <w:b/>
        </w:rPr>
        <w:t>E. 3</w:t>
      </w:r>
    </w:p>
    <w:p>
      <w:r>
        <w:t>Le recourant succombe dans ses conclusions. Il supportera les frais de la procédure de recours (art. 428 al. 1 CPP), qui seront fixés en totalité à CHF 800.- (art. 13 al. 1 du Règlement fixant le tarif des frais en matière pénale, RTFMP; E 4 10.03).</w:t>
      </w:r>
    </w:p>
    <w:p>
      <w:r>
        <w:rPr>
          <w:b/>
        </w:rPr>
        <w:t>E. 4</w:t>
      </w:r>
    </w:p>
    <w:p>
      <w:r>
        <w:t>Le recourant, qui bénéficiait d’une défense d’office par-devant le Tribunal pénal, n’a pas demandé l’assistance judiciaire pour la présente instance. Il comparaît donc par un avocat de choix. Succombant dans son recours, il n’a pas droit à l’indemnisation de ses frais de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