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PS/18/2022 vom 27. Mai 2022</w:t>
      </w:r>
    </w:p>
    <w:p>
      <w:r>
        <w:t>GE Cour de justice, 2022-05-27, FR</w:t>
      </w:r>
    </w:p>
    <w:p>
      <w:r>
        <w:rPr>
          <w:b/>
        </w:rPr>
        <w:t xml:space="preserve">Quelle: </w:t>
      </w:r>
      <w:r>
        <w:t>https://mcp.opencaselaw.ch/entscheid/ge_gerichte_PS_18_2022</w:t>
      </w:r>
    </w:p>
    <w:p>
      <w:r>
        <w:t>FR: GE_GERICHTE PS/18/2022 du 27 mai 2022</w:t>
      </w:r>
    </w:p>
    <w:p>
      <w:r>
        <w:t>IT: GE_GERICHTE PS/18/2022 del 27 maggio 2022</w:t>
      </w:r>
    </w:p>
    <w:p>
      <w:pPr>
        <w:pStyle w:val="Heading2"/>
      </w:pPr>
      <w:r>
        <w:t>Regeste</w:t>
      </w:r>
    </w:p>
    <w:p>
      <w:r>
        <w:t>RÉCUSATION;CONDUITE DU PROCÈS;ERREUR;DÉLAI;RETARD | CPP.56; CPP.58</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 comme en l'espèce – le ministère public est concerné (cf. ATF 148 IV 17 consid. 2.3).![endif]&gt;![if&gt; À Genève, l'autorité de recours, au sens de cette disposition, est la Chambre pénale de recours de la Cour de justice (art. 128 al. 2 let. a LOJ), siégeant dans la composition de trois juges (art. 127 LOJ)</w:t>
      </w:r>
    </w:p>
    <w:p>
      <w:r>
        <w:rPr>
          <w:b/>
        </w:rPr>
        <w:t>E. 1.2</w:t>
      </w:r>
    </w:p>
    <w:p>
      <w:r>
        <w:t>La demande de récusation doit être présentée sans délai par les parties dès qu'elles ont connaissance d'un motif de récusation (art. 58 al. 1 CPP).![endif]&gt;![if&gt; La récusation doit être demandée " sans délai ",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 considérer que le droit de demander la récusation est perdu doit être apprécié avec retenue (arrêt du Tribunal fédéral 1B_65/2022 du 18 mars 2022 consid. 3.1). Il incombe à la partie qui se prévaut d'un motif de récusation de rendre vraisemblable qu'elle a agi en temps utile, en particulier de rendre vraisemblable le moment de la découverte de ce motif (arrêt du Tribunal fédéral 1B_305/2019 du 26 novembre 2019 consid. 3.2.1).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était la " goutte d'eau qui faisait déborder le vase " (arrêt du Tribunal fédéral 1B_265/2021 du 9 septembre 2021 consid. 3). Dans un tel cas,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1B_118/2020 du 27 juillet 2020 consid. 3.2 ; 1B_305/2019 précité consid. 3.4.2.1).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(arrêts du Tribunal fédéral 1B_118/2020 précité consid. 3.2 ; 1B_305/2019 précité consid. 3.4.2.1).</w:t>
      </w:r>
    </w:p>
    <w:p>
      <w:r>
        <w:rPr>
          <w:b/>
        </w:rPr>
        <w:t>E. 1.3</w:t>
      </w:r>
    </w:p>
    <w:p>
      <w:r>
        <w:t>En l'espèce, la requête de récusation, qui date du 18 mars 2022, se fonde sur deux motifs de récusation distincts.![endif]&gt;![if&gt;</w:t>
      </w:r>
    </w:p>
    <w:p>
      <w:r>
        <w:rPr>
          <w:b/>
        </w:rPr>
        <w:t>E. 1.3.1</w:t>
      </w:r>
    </w:p>
    <w:p>
      <w:r>
        <w:t>En premier lieu, une série de reproches au sujet de ce que le requérant nomme " l'affaire des mots-clés ", qui aurait trouvé son paroxysme le 15 mars 2022, date à laquelle il avait reçu le rapport de la BCI du 17 janvier 2022. Déposée trois jours plus tard, la requête paraît l'avoir été " sans délai " au sens de l'art. 58 al. 1 CPP. Cependant, on constate que le requérant avait connaissance du motif de récusation plus tôt. Tel est notamment le cas du grief selon lequel la citée aurait allégué des faits faux dans sa requête au TMC du 14 décembre 2021 – date à laquelle il fait d'ailleurs remonter sa conclusion (entretemps retirée) en annulation des actes entrepris –, étant précisé que, dès le 17 décembre suivant, le requérant a contesté être l'auteur de la manœuvre qui lui était reprochée. Tel est également le cas lorsqu'il fait grief à la citée d'avoir attendu jusqu'à son retour, le 10 janvier 2022, pour interpeller la police sur cette problématique ; le requérant avait en effet été informé de l'existence du mandat d'actes d'enquête le 17 janvier 2022 déjà (let. B.k . supra ). Dans la mesure toutefois où il se plaint de la désinvolture avec laquelle la citée a traité la situation dans son ensemble, la question de la tardiveté peut rester ici ouverte, les reproches liés à ce premier motif de récusation étant de toute manière infondés, comme on le verra ci-après.![endif]&gt;![if&gt;</w:t>
      </w:r>
    </w:p>
    <w:p>
      <w:r>
        <w:rPr>
          <w:b/>
        </w:rPr>
        <w:t>E. 1.3.2</w:t>
      </w:r>
    </w:p>
    <w:p>
      <w:r>
        <w:t>supra ), le second motif invoqué par le requérant, soit la violation du principe du contradictoire, n'aurait de toute manière pas justifié la récusation de la citée. ![endif]&gt;![if&gt; En effet, il a manifestement trait à la manière dont est conduite l'instruction, pour laquelle le recourant dispose, quoi qu'il en dise, de moyens de contrôle, notamment en demandant le retrait du dossier ou le caviardage de déclarations à charge récoltées en violation de son droit de participer à l'administration des preuves (cf. art. 147 al. 4 CPP), puis en recourant auprès de la Chambre de céans contre une éventuelle décision négative du Ministère public (arrêt du Tribunal fédéral 1B_485/2021 du 26 novembre 2021 consid. 2.4 et 2.4.3 ; ACPR/172/2022 du 10 mars 2022 consid. 1 ; cf. aussi ACPR/905/2021 du 12 décembre 2021, cité par le requérant, qui réserve expressément cette possibilité [consid. 1.3.3, 1.5 et 1.6]). Cette voie lui permet de faire constater et de redresser d'éventuelles erreurs commises par la citée, aussi pour le cas où il n'apprend l'existence d'auditions non contradictoires que postérieurement, à réception de mandats d'actes d'enquête restreignant son droit de participer. Il est rappelé ici que la procédure de récusation n'a pas pour objet de permettre aux parties de remettre en cause la manière dont la procédure est menée. En tout état, les violations de l'art. 147 CPP alléguées, à supposer qu'elles soient réalisées, ne peuvent être qualifiées d'erreurs particulièrement lourdes ou répétées au sens de la jurisprudence, compte tenu également de l'ampleur de la procédure, qui porte sur un vaste complexe de faits (plusieurs promotions immobilières concernées) et vise de nombreux prévenus, entre lesquels subsiste un risque de collusion important. Enfin, la présente cause n'est en aucun cas comparable à celle ayant fait l'objet de l'arrêt cité par le requérant (arrêt du Tribunal fédéral 1B_375/2017 du 7 février 2018), dans lequel il était question de violations systématiques du droit du prévenu de participer à l'administration des preuves, mais également de l'audition d'une témoin sous des mesures de protection qui n'étaient pas justifiées et, surtout, du non-versement au dossier de la procédure de détention de moyens de preuve à décharge, voire même de potentielles incitations ou promesses faites à des victimes en échange de déclarations à charge. Il s'ensuit que ce second motif, que le requérant qualifie lui-même d'accessoire ou de " très à la marge " du premier, ne justifie pas non plus la récusation de la citée. En conséquence, il n'y a pas lieu de donner suite à la conclusion " très subsidiaire " du requérant, prise au stade des observations seulement, tendant à ce que la citée soit exhortée à respecter à l'avenir les réquisits de l'art. 147 CPP.</w:t>
      </w:r>
    </w:p>
    <w:p>
      <w:r>
        <w:rPr>
          <w:b/>
        </w:rPr>
        <w:t>E. 2</w:t>
      </w:r>
    </w:p>
    <w:p>
      <w:r>
        <w:t>Le requérant estime que le comportement de la cité traduirait une apparence de prévention à son encontre, soit un motif de récusation au sens de l'art. 56 let. f CPP. ![endif]&gt;![if&gt;</w:t>
      </w:r>
    </w:p>
    <w:p>
      <w:r>
        <w:rPr>
          <w:b/>
        </w:rPr>
        <w:t>E. 2.1</w:t>
      </w:r>
    </w:p>
    <w:p>
      <w:r>
        <w:t>Un magistrat est récusable selon l'art. 56 let. f CPP, lorsque d'autres motifs que ceux prévus aux let. a à e,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 arrêt du Tribunal fédéral 1B_536/2021 du 28 janvier 2022 consid. 4.1).![endif]&gt;![if&gt; Des décisions ou des actes de procédure qui se révèlent par la suite erronés ne fondent pas en soi une apparence objective de prévention sous l'angle de l'art. 56 let. f CPP;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 du Tribunal fédéral 1B_430/2021 du 22 octobre 2021 consid. 2.1 et 2.3.2).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Cela est en particulier le cas lorsqu'il décide de l'ouverture d'une instruction (qui suppose l'existence de soupçons suffisants au sens de l'art. 309 al. 1 CPP) ou lorsqu'il ordonne des mesures de contrainte (arrêt du Tribunal fédéral 1B_320/2021 du 12 août 2021 consid. 3.1).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De manière générale, ses déclarations – notamment celles figurant au procès-verbal des auditions – doivent être interprétées de manière objective, en tenant compte de leur contexte, de leurs modalités et du but apparemment recherché par leur auteur (arrêts du Tribunal fédéral 1B_255/2021 du 27 juillet 2021 consid. 3.1 ; 1B_192/2021 du 27 mai 2021 consid. 3.1).</w:t>
      </w:r>
    </w:p>
    <w:p>
      <w:r>
        <w:rPr>
          <w:b/>
        </w:rPr>
        <w:t>E. 2.2</w:t>
      </w:r>
    </w:p>
    <w:p>
      <w:r>
        <w:t>En l'espèce, le litige trouve sa source dans la demande de prolongation de la détention provisoire du 14 décembre 2021, dans laquelle la citée affirme, pour justifier le risque de collusion, que le requérant n'avait pas toujours témoigné d'une confiance sans faille puisque, lors de la perquisition du 18 novembre 2021, il avait " glissé ", parmi les noms d'avocats devant servir à retrancher les documents couverts par un secret professionnel, des noms sans lien avec une activité juridique, notamment des employés de H______ SA. Il a depuis lors été établi que le requérant n'avait pas agi ainsi et que cette affirmation était erronée. ![endif]&gt;![if&gt; Le requérant reproche à la citée d'avoir, ce faisant, " induit en erreur " le TMC, en lui communiquant une information fausse et non actée à la procédure. Or, contrairement à ce que le verbe " induire " sous-entend, aucun élément ne permet d'affirmer que la citée connaissait, déjà à l'époque, le caractère erroné des affirmations litigieuses. Elle a expliqué tenir cette information d'un inspecteur de la BCI, qui lui avait annoncé par oral que la liste de mots-clés du rapport du 23 novembre 2021 provenait du requérant lui-même. Compte tenu du fait que, lors de la perquisition du 18 novembre 2021, le requérant était physiquement présent lors de l'examen, par les inspecteurs de la BCI, des données figurant sur le serveur de l'entreprise – ce qu'il ne conteste pas –, la citée n'avait pas de raison de douter de la véracité de l'information qui lui avait été transmise, ce d'autant moins qu'elle reconnaît n'avoir pas elle-même assisté aux échanges entre le prévenu et les inspecteurs, occupée à trier les documents se trouvant dans le bureau de J______. Cette vision des choses est confortée par la lettre du 25 novembre 2021 relative à la procédure de scellés, dans laquelle la citée relève que le requérant avait communiqué aux policiers présents lors de la perquisition des noms autres que ceux de ses avocats (cf. let. B.d. supra ). À cet égard, il ne peut lui être reproché, sous l'angle d'une apparence de prévention, de s'être alors trompée en affirmant que cet élément ressortait du rapport du 23 novembre 2021 : compte tenu des circonstances de la perquisition, elle pouvait raisonnablement inférer dudit rapport que la liste qu'il contenait avait été donnée par le requérant aux inspecteurs de la BCI présents à ses côtés. Nantie de cette information, la citée en a ensuite fait état dans sa demande de prolongation – soit une procédure dans laquelle le Ministère public intervient en tant que partie et peut dès lors prendre une position plus orientée –, à côté d'un certain nombre d'autres arguments. Contrairement à ce que prétend une nouvelle fois le requérant (même s'il admet ensuite que ce point excède l'objet du litige), on ne saurait retenir que cette allégation ou cette affirmation aurait servi de " base " à la décision du TMC de prolonger sa détention provisoire jusqu'au 25 janvier 2022. Si, dans son ordonnance du 20 décembre 2021, le TMC s'y réfère, c'est surtout pour affirmer que, sous l'angle du risque de collusion, des auditions d'employés de H______ SA " pourraient s'avérer nécessaires ", en fonction du résultat de l'analyse, toujours en cours, des pièces saisies. L'essentiel de son raisonnement quant au risque de collusion se concentre toutefois sur six personnes devant encore être confrontées au requérant d'ici à janvier 2022, une fois l'analyse des pièces saisies terminée. Ce qui précède permet de répondre à un autre reproche soulevé par le requérant à l'encontre de la citée : celui d'avoir agi avec désinvolture en attendant son retour de vacances, le 10 janvier 2022, pour interpeller la police, alors qu'elle savait depuis le 22 décembre 2021 déjà qu'il contestait la manœuvre qui lui était reprochée et souhaitait des éclaircissements. Outre que le requérant n'était pas démuni de tout moyen contre l'inaction du Ministère public, il faut retenir que, dès lors que sa détention venait d'être prolongée avant tout pour permettre une première analyse des données saisies puis, sur cette base, une confrontation avec plusieurs co-prévenus et participants à la procédure au mois de janvier 2022, la citée pouvait valablement penser que, tant que ces actes n'auraient pas eu lieu, le risque de collusion restait suffisant pour maintenir le requérant en détention, sans qu'il faille instruire en urgence la question de la liste de mots-clés. Dans cette mesure, le fait d'avoir attendu le 10 janvier 2022 pour adresser un mandat d'actes d'enquête à la police ne peut être qualifié d'erreur permettant de fonder une apparence de prévention. C'est le lieu de préciser que, dès lors qu'elle savait cette question controversée, la citée n'en a plus fait état dans sa nouvelle demande de prolongation de la détention du 19 janvier 2022, ce qui ne laisse pas non plus soupçonner une attitude partiale, au contraire. Si, le 28 janvier suivant, le TMC a ordonné la mise en liberté du requérant, c'est notamment en raison de la tenue de confrontations récentes avec des co-prévenus déjà mentionnés dans sa précédente ordonnance du 20 décembre 2021, ce qui montre bien que cet élément avait, à l'époque, joué un rôle décisif dans sa décision de prolonger de cinq semaines la détention provisoire du requérant. Ensuite, l'erreur dans la notification du rapport de la BCI du 17 janvier 2022 n'est pas le fait de la citée. Il ne saurait lui être reproché d'avoir tardé à en obtenir une copie, dès lors qu'il ressort de la note au dossier du 14 mars 2022 et de ses déterminations à la Chambre de céans que sa greffière avait cherché à plusieurs reprises à savoir où ledit rapport se trouvait. Il n'y a pas lieu de remettre en question ces explications, ni de demander à ce qu'elles soient plus amplement documentées, comme le requérant le laisse entendre dans sa lettre du 7 avril 2022. Dès lors qu'une procédure de récusation était en cours, il n'était pas critiquable, pour le Ministère public – représenté non pas par la citée, mais par l'autre magistrate en charge de la procédure –, de transmettre ce pli à la Chambre de céans, étant précisé que, même si l'art. 59 al. 1 CPP prévoit que le litige est tranché " sans administration supplémentaire de preuves ", toute instruction n'est pas pour autant exclue, notamment lorsque le motif de l'art. 56 let. f CPP est invoqué (cf. arrêt du Tribunal fédéral 1B_186/2019 du 24 juin 2019 consid. 4.1). Le point de savoir si une récusation de l'inspecteur de la BCI ayant donné l'information litigieuse pourrait entrer en considération excède l'objet du litige (cf. art. 59 al. 1 let. a CPP). On relèvera toutefois que le nom des deux policiers ayant réalisé la copie, l'indexation et le tri – à l'aide de la liste de mots-clés faussement imputée au requérant – des données saisies lors de la perquisition figurait déjà dans le rapport du 23 novembre 2021, et que ces enquêteurs sont également les auteurs du rapport du 17 janvier 2022. La citée, qui n'a pas formellement refusé de donner le nom de l'inspecteur en question, pouvait considérer que le requérant disposait de suffisamment d'éléments pour demander, le cas échéant, la récusation de l'intéressé. Son refus, même tacite, de donner une suite immédiate au pli du 7 avril 2022 ne constitue dès lors pas un indice de prévention. Le temps écoulé entre la réception d'une copie du rapport du 17 janvier 2022 par e-mail (3 mars 2022) et son versement effectif au dossier (14 mars 2022) n'est pas non plus critiquable, étant rappelé que le requérant ne se trouvait alors plus en détention provisoire. Rien ne permet d'affirmer que la citée disposait déjà des données indexées et expurgées conformément à son mandat d'actes d'enquête du 10 janvier 2022 et qu'elle aurait tardé à en informer le requérant. Elle lui a d'ailleurs adressé une copie du rapport dès qu'il a été versé au dossier, puisqu'il dit l'avoir reçu le 15 mars 2022. Enfin, les quelques approximations ou erreurs contenues dans les déterminations de la citée à la Chambre de céans – allégué sans références à des pièces au dossier et absence de de contestation dudit allégué de la part du requérant – ne suffisent pas à fonder un soupçon de parti pris de la part de la Procureure. Il s'ensuit que les reproches formulés en lien avec " l'affaire des mots-clés " ne constituent pas un motif de récusation au sens de l'art. 56 let. f CPP.</w:t>
      </w:r>
    </w:p>
    <w:p>
      <w:r>
        <w:rPr>
          <w:b/>
        </w:rPr>
        <w:t>E. 2.3</w:t>
      </w:r>
    </w:p>
    <w:p>
      <w:r>
        <w:t>Même s'il a été vu que la requête était à cet égard tardive (cf. consid.</w:t>
      </w:r>
    </w:p>
    <w:p>
      <w:r>
        <w:rPr>
          <w:b/>
        </w:rPr>
        <w:t>E. 3</w:t>
      </w:r>
    </w:p>
    <w:p>
      <w:r>
        <w:t>Partant, la demande de récusation visant la Procureure B______ est, dans la mesure de sa recevabilité, infondée, et doit être rejetée.![endif]&gt;![if&gt;</w:t>
      </w:r>
    </w:p>
    <w:p>
      <w:r>
        <w:rPr>
          <w:b/>
        </w:rPr>
        <w:t>E. 4</w:t>
      </w:r>
    </w:p>
    <w:p>
      <w:r>
        <w:t>En tant qu'il succombe, le requérant supportera les frais de la procédure (art. 59 al. 4 CPP), fixés en totalité à CHF 2'000.-.![endif]&gt;![if&gt;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