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PS/12/2021 vom 19. Juli 2021</w:t>
      </w:r>
    </w:p>
    <w:p>
      <w:r>
        <w:t>GE Cour de justice, 2021-07-19, FR</w:t>
      </w:r>
    </w:p>
    <w:p>
      <w:r>
        <w:rPr>
          <w:b/>
        </w:rPr>
        <w:t xml:space="preserve">Quelle: </w:t>
      </w:r>
      <w:r>
        <w:t>https://mcp.opencaselaw.ch/entscheid/ge_gerichte_PS_12_2021</w:t>
      </w:r>
    </w:p>
    <w:p>
      <w:r>
        <w:t>FR: GE_GERICHTE PS/12/2021 du 19 juillet 2021</w:t>
      </w:r>
    </w:p>
    <w:p>
      <w:r>
        <w:t>IT: GE_GERICHTE PS/12/2021 del 19 luglio 2021</w:t>
      </w:r>
    </w:p>
    <w:p>
      <w:pPr>
        <w:pStyle w:val="Heading2"/>
      </w:pPr>
      <w:r>
        <w:t>Regeste</w:t>
      </w:r>
    </w:p>
    <w:p>
      <w:r>
        <w:t>RÉCUSATION;RETARD INJUSTIFIÉ | CPP.56; CPP.58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w:t>
      </w:r>
    </w:p>
    <w:p>
      <w:r>
        <w:rPr>
          <w:b/>
        </w:rPr>
        <w:t>E. 1.2</w:t>
      </w:r>
    </w:p>
    <w:p>
      <w:r>
        <w:t>Parties plaignantes à la procédure pendante (art. 104 al. 1 let. b CPP), les requérants disposent de la qualité pour agir (art. 58 al. 1 CPP).</w:t>
      </w:r>
    </w:p>
    <w:p>
      <w:r>
        <w:rPr>
          <w:b/>
        </w:rPr>
        <w:t>E. 1.3</w:t>
      </w:r>
    </w:p>
    <w:p>
      <w:r>
        <w:t>Conformément à l'art. 58 al. 1 CPP, la récusation doit être demandée sans délai, dès que la partie a connaissance du motif de récusation, c'est-à-dire dans les jours qui suivent la connaissance de la cause de récusation (arrêt 1B_335/2019 du 16 janvier 2020 consid. 3.1.2 et l'arrêt cité), sous peine de déchéance (ATF 143 V 66 consid. 4.3;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1B_113/2020 du 16 avril 2020 consid. 3; 1B_496/2019 du 28 février 2020 consid. 3.3; 1B_335/2019 du 16 janvier 2020 consid. 3.1.2 et les arrêts cités).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 goutte d'eau qui fait déborder le vase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(arrêts du Tribunal fédréal 1B_305/2019 du 26 novembre 2019 consid. 3.4.2.1; 1B_149/2019 du 3 septembre 2019 consid. 3.2).</w:t>
      </w:r>
    </w:p>
    <w:p>
      <w:r>
        <w:rPr>
          <w:b/>
        </w:rPr>
        <w:t>E. 1.4</w:t>
      </w:r>
    </w:p>
    <w:p>
      <w:r>
        <w:t>En l'espèce, les parties plaignantes se plaignent depuis de nombreuses années de la manière dont le Procureur mène l'instruction des diverses procédures ouvertes dans le cadre de " l'affaire G______ ". Son impartialité dans le cadre de la P/2______/2017 a déjà été remise en cause par d'autres parties plaignantes par le passé, en lien notamment avec sa gestion du rapport de la FINMA du 6 avril 2017 (cf. ACPR/234/2020 ). Ce qui paraît toutefois avoir constitué l'élément déclencheur de la décision des requérants de solliciter, à leur tour, la récusation de F______, est l'ordonnance de classement rendue le 11 février 2021 dans la P/1______/2017, sans même que l'intéressé ait attendu que la Chambre de céans statue sur l'étendue de l'accès des parties audit rapport. Celui-ci, dont ils ont requis l'apport, est en effet, à leurs yeux, pertinent pour l'examen des accusations formulées dans le cadre de cette procédure. Déposée dans la semaine suivant la réception de cette ordonnance, la requête de récusation doit donc être considérée comme l'ayant été en temps utile. Elle est, partant, recevable.</w:t>
      </w:r>
    </w:p>
    <w:p>
      <w:r>
        <w:rPr>
          <w:b/>
        </w:rPr>
        <w:t>E. 2</w:t>
      </w:r>
    </w:p>
    <w:p>
      <w:r>
        <w:t>2.1.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 76; N. SCHMID / D. JOSITSCH, Schweizerische Strafprozessordnung : Praxiskommentar , 3 ème éd., Zurich 2017, n. 14 ad art. 56).</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2.3</w:t>
      </w:r>
    </w:p>
    <w:p>
      <w:r>
        <w:t>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(cf. ATF 143 IV 69 consid. 3.2 p. 74 s.; 125 I 119 consid. 3e p. 124; plus récemment arrêt du Tribunal fédéral 1C_165/2019 du 7 janvier 2020 consid. 2.1). La procédure de récusation ne doit toutefois pas constituer un biais procédural permettant au requérant d'obtenir un contrôle d'erreurs de procédure alléguées qui doivent être invoquées dans les voies de droit idoines (ATF 115 Ia 400 consid. 3b p. 404; 114 Ia 153 consid. 3b/bb p. 158 s.).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w:t>
      </w:r>
    </w:p>
    <w:p>
      <w:r>
        <w:rPr>
          <w:b/>
        </w:rPr>
        <w:t>E. 2.4</w:t>
      </w:r>
    </w:p>
    <w:p>
      <w:r>
        <w:t>Dans le cas présent, bien que les procédures P/2______/2017 et P/1______/2017 soient ouvertes depuis plus de quatre ans, elles n'ont connu aucun développement significatif, les actes d'enquête étant demeurés rares et le plus souvent exécutés à la suite de demandes appuyées des parties plaignantes ou d'injonctions de la Chambre de céans ou du Tribunal fédéral. Force est dès lors de constater que le cité montre peu d'empressement à se plonger dans le dossier et à l'instruire, suscitant l'agacement des parties plaignantes. Néanmoins, ainsi que l'a rappelé la Chambre de céans dans sa précédente décision concernant la récusation du Procureur dans cette affaire ( ACPR/234/2020 du 21 avril 2020), des moyens de droit idoines, tels un recours pour déni de justice et/ou violation du principe de la célérité, existent pour pallier ce type de réticence apparente. Or, les requérants n'en ont pas usé, et rien ne permet de conclure qu'une telle démarche aurait été vouée à l'échec. Par conséquent, les atermoiements reprochés ne sauraient justifier, en eux-mêmes, la récusation du cité. Le refus d'intégrer certains éléments au dossier, ou de les rendre accessibles aux parties, puisque faisant précisément l'objet d'une contestation dans la procédure parallèle, n'est pas non plus un motif de récusation. Quant au classement et au refus d'administration de preuves dont il est assorti, prononcé par le Ministère public le 11 février 2017 dans la P/1______/2017, il peut certes apparaître intempestif. En annonçant parallèlement aux parties qu'il ne verserait pas à la procédure le rapport de la FINMA tant que la Chambre de céans n'aurait pas statué, le cité leur a en effet laissé entendre qu'il n'était pas opposé à leur requête, alors que tel n'était à l'évidence pas le cas. Le prononcé de sa décision, à ce stade de la procédure, paraît toutefois davantage procéder d'un manque d'élan à empoigner un dossier difficile, que d'une intention de favoriser la banque. Indépendamment de l'issue du recours interjeté contre le classement, l'on ne peut donc en tirer une apparence fondée que le cité ferait preuve de partialité en faveur de H______ AG, étant rappelé que les refus d'instruire, même s'ils apparaissent systématiques, ne constituent pas des motifs de récusation. Il résulte de ce qui précède, comme il est exclu qu'après avoir constitué une liste des erreurs de procédure commises au fil du temps par le magistrat, la partie choisisse librement le moment de la demande de récusation, que les conditions de cette dernière ne sont pas réunies, même en considérant l'accumulation des griefs formulés par les requérants. En l'état, la requête doit donc être rejetée.</w:t>
      </w:r>
    </w:p>
    <w:p>
      <w:r>
        <w:rPr>
          <w:b/>
        </w:rPr>
        <w:t>E. 3</w:t>
      </w:r>
    </w:p>
    <w:p>
      <w:r>
        <w:t>Les requérants, qui succombent, seront condamnés, conjointement et solidairement, aux frais de la procédure (art. 59 al. 4 CPP), arrêtés en totalité à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