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PS/12/2020 vom 30. Januar 2020</w:t>
      </w:r>
    </w:p>
    <w:p>
      <w:r>
        <w:t>GE Cour de justice, 2020-01-30, FR</w:t>
      </w:r>
    </w:p>
    <w:p>
      <w:r>
        <w:rPr>
          <w:b/>
        </w:rPr>
        <w:t xml:space="preserve">Quelle: </w:t>
      </w:r>
      <w:r>
        <w:t>https://mcp.opencaselaw.ch/entscheid/ge_gerichte_PS_12_2020</w:t>
      </w:r>
    </w:p>
    <w:p>
      <w:r>
        <w:t>FR: GE_GERICHTE PS/12/2020 du 30 janvier 2020</w:t>
      </w:r>
    </w:p>
    <w:p>
      <w:r>
        <w:t>IT: GE_GERICHTE PS/12/2020 del 30 gennaio 2020</w:t>
      </w:r>
    </w:p>
    <w:p>
      <w:pPr>
        <w:pStyle w:val="Heading2"/>
      </w:pPr>
      <w:r>
        <w:t>Regeste</w:t>
      </w:r>
    </w:p>
    <w:p>
      <w:r>
        <w:t>RISQUE DE RÉCIDIVE;EXPERTISE;MILIEU FERMÉ | CP.59.al1; CP.59.al3</w:t>
      </w:r>
    </w:p>
    <w:p>
      <w:pPr>
        <w:pStyle w:val="Heading2"/>
      </w:pPr>
      <w:r>
        <w:t>Erwägungen</w:t>
      </w:r>
    </w:p>
    <w:p>
      <w:r>
        <w:rPr>
          <w:b/>
        </w:rPr>
        <w:t>E. 1.1</w:t>
      </w:r>
    </w:p>
    <w:p>
      <w:r>
        <w:t>En vertu de l'art. 42 al. 1 let. a de la loi d'application du code pénal suisse et d'autres lois fédérales en matière pénale (LaCP; E 4 10), la Chambre pénale de recours de la Cour de justice connaît des recours dirigés contre les décisions rendues par le département de la sécurité, ses offices et ses services conformément à l'article 40 LaCP (art. 439 al. 1 CPP), les articles 379 à 397 CPP s'appliquant à titre de droit cantonal supplétif (art. 42 al. 2 LaCP). Pour le surplus, la loi sur la procédure administrative (LPA; RS E 5 10) est applicable (art. 40 al. 4 LaCP).</w:t>
      </w:r>
    </w:p>
    <w:p>
      <w:r>
        <w:rPr>
          <w:b/>
        </w:rPr>
        <w:t>E. 1.2</w:t>
      </w:r>
    </w:p>
    <w:p>
      <w:r>
        <w:t>Le recours est, en l'occurrence, dirigé contre une décision rendue par le SAPEM, dans une matière pour laquelle il est compétent (art. 40 al. 1 et 5 al. 1 let. d LaCP; art. 11 al. 1 let. e du règlement genevois sur l'exécution des peines privatives de liberté et des mesures entraînant une privation de liberté [REPM; E 4 55.05]). Le recours a par ailleurs été déposé selon la forme et dans le délai prescrits (art. 385 al. 1 et 396 al. 1 CPP, dispositions également applicables à titre de droit cantonal supplétif en vertu du renvoi de l'art. 42 al. 2 LaCP) et émane du condamné visé par la mesure institutionnelle, qui a qualité pour agir, ayant un intérêt juridiquement protégé à la modification ou à l'annulation de la décision querellée (art. 382 al. 1 CPP et 42 al. 2 LaCP). Il est dès lors recevable.</w:t>
      </w:r>
    </w:p>
    <w:p>
      <w:r>
        <w:rPr>
          <w:b/>
        </w:rPr>
        <w:t>E. 2</w:t>
      </w:r>
    </w:p>
    <w:p>
      <w:r>
        <w:t>Le recourant considère que la décision est disproportionnée.</w:t>
      </w:r>
    </w:p>
    <w:p>
      <w:r>
        <w:rPr>
          <w:b/>
        </w:rPr>
        <w:t>E. 2.1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6B_1216/2018 du 16 janvier 2019 consid. 1.1.; 6B_1243/2017 du 13 mars 2018 consid. 1.1; 6B_319/2017 du 28 septembre 2017 consid. 1.1; 6B_845/2016 du 29 juin 2017 consid. 3.1.2; 6B_1040/2015 du 29 juin 2016 consid. 5.1 et les arrêts cités). Le risque de récidive doit être concret et hautement probable, c'est-à-dire résulter de l'appréciation d'une série de circonstances. Il vise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l'insoumission vis-à-vis des employés de l'établissement ou la violation de règles internes de celui-ci sont, en soi, insuffisantes pour justifier le placement en milieu fermé (arrêts du Tribunal fédéral 6B_1216/2018 du 16 janvier 2019 consid. 1.1; 6B_1243/2017 précité consid. 1.1; 6B 319/2017 du 28 septembre 2017 consid. 1.1; 6B_1040/2015 du 29 juin 2016 consid. 5.1 et 5.2; 6B_1045/2013 précité, 6B_538/2013 du 14 octobre 2013 consid. 3.1; 6B_372/2012 du 27 septembre 2012 consid. 2.3; 6B_205/2012 du 27 juillet 2012 consid. 3.2.2, 6B_384/2010 précité et 6B_629/2009 du 21 décembre 2009 consid. 1.2.2.2).</w:t>
      </w:r>
    </w:p>
    <w:p>
      <w:r>
        <w:rPr>
          <w:b/>
        </w:rPr>
        <w:t>E. 2.2</w:t>
      </w:r>
    </w:p>
    <w:p>
      <w:r>
        <w:t>Le SAPEM a justifié le placement du recourant en milieu fermé uniquement par l'existence d'un risque de récidive. Cependant, on constate que le 21 mai 2019, le SAPEM a confirmé le milieu ouvert et les sorties accompagnées, ne retenant aucun risque de récidive ni de fuite au sens de l'art. 59 al. 3 CP, et que le 27 août 2019, le SMI a retenu une bonne évolution du recourant, précisant que les troubles cognitifs, mis en évidence par le bilan neuropsychologique du 25 février 2019, pouvaient en partie expliquer ses difficultés de compréhension et sa tendance à accepter le cadre institutionnel proposé avant de le transgresser. Dans ses rapports, en vue d'une prise en soins en milieu fermé, des 13 décembre 2019 et 21 janvier 2020, le SMI fait état de transgression du cadre des soins à de multiples reprises et estime que A______ se dégradait, qu'il présentait un risque de récidive majeur et une dangerosité notable en lien avec son alcoolisme chronique mais également dans le cadre de son intolérance à la frustration qui passait au premier plan avec une invalidation constante des soins proposés. Cependant, dans les situations ainsi explicitées, force est de considérer qu'il n'y a pas de menaces concrètes d'atteinte physique contre les soignants; les propos relèvent plus de l'intimidation que de la menace et on ne constate aucun acte de violence à l'égard des soignants; celui de jeter un verre, voire " jeter " une chaise n'atteignant pas le degré pouvant être qualifier de risque de récidive concret et hautement probable. On ne distingue pas une réelle évolution par rapport à la situation retenue lors du précédent arrêt lequel relevait déjà qu'aucune nouvelle expertise n'avait été pratiquée, , alors qu'elle paraît d'autant plus nécessaire qu'un trouble bipolaire a été nouvellement suspecté ainsi qu'un déficit cognitif. Si le recourant est à l'évidence difficile à gérer pour les soignants, le Tribunal fédéral a rappelé que le placement en milieu fermé ne pouvait se justifier simplement par de meilleures perspectives de traitement de l'intéressé et indépendamment dudit risque (arrêt 6B ______/2018 du ______ 2019 consid. 3.1). Les soignants étaient toujours parvenus à contenir le recourant, quitte à le transférer à l'UHPP, sans que l'on puisse retenir le risque de récidive au sens de l'art. 59 al. 3 CP. Une nouvelle expertise est ainsi nécessaire et devra se prononcer sur le risque de récidive actuel du recourant.</w:t>
      </w:r>
    </w:p>
    <w:p>
      <w:r>
        <w:rPr>
          <w:b/>
        </w:rPr>
        <w:t>E. 3</w:t>
      </w:r>
    </w:p>
    <w:p>
      <w:r>
        <w:t>Non justifiée, la décision querellée sera donc annulée.</w:t>
      </w:r>
    </w:p>
    <w:p>
      <w:r>
        <w:rPr>
          <w:b/>
        </w:rPr>
        <w:t>E. 4</w:t>
      </w:r>
    </w:p>
    <w:p>
      <w:r>
        <w:t>Vu l'issue du recours, les frais seront laissés à la charge de l'État (art. 428 al. 1 CPP).</w:t>
      </w:r>
    </w:p>
    <w:p>
      <w:r>
        <w:rPr>
          <w:b/>
        </w:rPr>
        <w:t>E. 5</w:t>
      </w:r>
    </w:p>
    <w:p>
      <w:r>
        <w:t>Le recourant demande la nomination d'office de son avocat.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avocat-stagiaire est rémunéré au tarif de CHF 110.-/heure (nouvel art. 16 al. 1 let. a RAJ applicable à tous les états de frais dont la taxation n'est pas définitive au 1 er octobre 2018 (art. 23 RAJ)) et le chef d'étude est rémunéré au tarif de CHF 200.-/heure, débours de l'étude inclus.</w:t>
      </w:r>
    </w:p>
    <w:p>
      <w:r>
        <w:rPr>
          <w:b/>
        </w:rPr>
        <w:t>E. 5.2</w:t>
      </w:r>
    </w:p>
    <w:p>
      <w:r>
        <w:t>Dans le cas présent, le recourant, détenu dans le cadre de l'exécution d'une peine, est très vraisemblablement indigent et la difficulté de la cause, portant sur une question juridique relative aux risques avérés de réitération, justifiait le recours à l'assistance d'un avocat. Le recourant n'a pas déposé d'état de frais de son défenseur (art. 17 RAJ). Les observations de douze pages n'apparaissent pas avoir été signées par Me J______ mais par sa stagiaire et rien ne permet de penser que la seconde citée ne les aurait pas rédigées. En application des principes exposés, la Chambre de céans estime ainsi adéquat d'arrêter le temps nécessaire à la défense des intérêts du recourant à 9 heures d'activité de stagiaire. L'indemnité due au défenseur d'office sera dès lors fixée à CHF 1'066.25.- (TVA à 7.7% comprise; art. 421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